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7425"/>
      </w:tblGrid>
      <w:tr w:rsidR="002E5EF1" w14:paraId="43D92E30" w14:textId="77777777" w:rsidTr="00E103D0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92883" w14:textId="77777777" w:rsidR="002E5EF1" w:rsidRDefault="002E5EF1" w:rsidP="00E103D0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DCDBE80" wp14:editId="5912374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-196850</wp:posOffset>
                  </wp:positionV>
                  <wp:extent cx="610235" cy="845820"/>
                  <wp:effectExtent l="0" t="0" r="0" b="0"/>
                  <wp:wrapNone/>
                  <wp:docPr id="2" name="Imagem 2" descr="Ficheiro:Brasao UF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Ficheiro:Brasao UF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35" cy="845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93F232" w14:textId="77777777" w:rsidR="002E5EF1" w:rsidRDefault="002E5EF1" w:rsidP="00E103D0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>
              <w:rPr>
                <w:rFonts w:ascii="Arial Narrow" w:hAnsi="Arial Narrow" w:cs="Calibri"/>
                <w:b/>
                <w:smallCaps/>
              </w:rPr>
              <w:t>Serviço Público Federal</w:t>
            </w:r>
          </w:p>
          <w:p w14:paraId="71BF4260" w14:textId="77777777" w:rsidR="002E5EF1" w:rsidRDefault="002E5EF1" w:rsidP="00E103D0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>
              <w:rPr>
                <w:rFonts w:ascii="Arial Narrow" w:hAnsi="Arial Narrow" w:cs="Calibri"/>
                <w:b/>
                <w:smallCaps/>
              </w:rPr>
              <w:t>Universidade Federal do Pará — UFPA</w:t>
            </w:r>
          </w:p>
          <w:p w14:paraId="51625163" w14:textId="77777777" w:rsidR="002E5EF1" w:rsidRDefault="002E5EF1" w:rsidP="00E103D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mallCaps/>
              </w:rPr>
              <w:t xml:space="preserve">Comissão Permanente de </w:t>
            </w:r>
            <w:proofErr w:type="gramStart"/>
            <w:r>
              <w:rPr>
                <w:rFonts w:ascii="Arial Narrow" w:hAnsi="Arial Narrow" w:cs="Calibri"/>
                <w:b/>
                <w:smallCaps/>
              </w:rPr>
              <w:t>Licitação  —</w:t>
            </w:r>
            <w:proofErr w:type="gramEnd"/>
            <w:r>
              <w:rPr>
                <w:rFonts w:ascii="Arial Narrow" w:hAnsi="Arial Narrow" w:cs="Calibri"/>
                <w:b/>
                <w:smallCaps/>
              </w:rPr>
              <w:t xml:space="preserve"> CPL</w:t>
            </w:r>
          </w:p>
        </w:tc>
      </w:tr>
    </w:tbl>
    <w:p w14:paraId="13493945" w14:textId="5FBA4318" w:rsidR="00D31D85" w:rsidRDefault="003A61A3" w:rsidP="00D31D85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ANEXO</w:t>
      </w:r>
      <w:r w:rsidR="00CA7234">
        <w:rPr>
          <w:rFonts w:cs="Times New Roman"/>
          <w:b/>
          <w:szCs w:val="20"/>
        </w:rPr>
        <w:t xml:space="preserve"> </w:t>
      </w:r>
      <w:r>
        <w:rPr>
          <w:rFonts w:cs="Times New Roman"/>
          <w:b/>
          <w:szCs w:val="20"/>
        </w:rPr>
        <w:t>V</w:t>
      </w:r>
    </w:p>
    <w:p w14:paraId="1D19C06F" w14:textId="7B26CB61" w:rsidR="00FC1667" w:rsidRDefault="00D31D85" w:rsidP="00D31D85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 </w:t>
      </w:r>
      <w:r w:rsidR="0070059F"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2" w14:textId="47FA388C" w:rsidR="0070059F" w:rsidRPr="00391D87" w:rsidRDefault="00DC74BD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  <w:r>
        <w:rPr>
          <w:rFonts w:cs="Times New Roman"/>
          <w:szCs w:val="20"/>
        </w:rPr>
        <w:t xml:space="preserve"> </w:t>
      </w: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7777777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DO (A)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73A0B37A" w:rsidR="0070059F" w:rsidRDefault="00B615AC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040071">
        <w:rPr>
          <w:rFonts w:cs="Arial"/>
          <w:szCs w:val="20"/>
        </w:rPr>
        <w:t xml:space="preserve">A </w:t>
      </w:r>
      <w:r w:rsidRPr="00040071">
        <w:rPr>
          <w:rFonts w:cs="Arial"/>
          <w:b/>
          <w:szCs w:val="20"/>
        </w:rPr>
        <w:t>UNIVERSIDADE FEDERAL DO PARÁ – UFPA</w:t>
      </w:r>
      <w:r w:rsidRPr="00040071">
        <w:rPr>
          <w:rFonts w:cs="Arial"/>
          <w:szCs w:val="20"/>
        </w:rPr>
        <w:t xml:space="preserve">, Autarquia Especial de Ensino Superior, vinculada ao Ministério da Educação e do Desporto, com sede no Campus Universitário do Guamá, à Rua Augusto Corrêa, nº. 01, na cidade de Belém, Estado do Pará, inscrito(a) no CNPJ sob o nº 34621748/0001-23, neste ato representado pelo Magnífico </w:t>
      </w:r>
      <w:proofErr w:type="gramStart"/>
      <w:r w:rsidRPr="00040071">
        <w:rPr>
          <w:rFonts w:cs="Arial"/>
          <w:szCs w:val="20"/>
        </w:rPr>
        <w:t>Reitor,..........</w:t>
      </w:r>
      <w:proofErr w:type="gramEnd"/>
      <w:r w:rsidRPr="00040071">
        <w:rPr>
          <w:rFonts w:cs="Arial"/>
          <w:szCs w:val="20"/>
        </w:rPr>
        <w:t xml:space="preserve"> </w:t>
      </w:r>
      <w:r>
        <w:rPr>
          <w:rFonts w:cs="Arial"/>
          <w:iCs/>
          <w:szCs w:val="20"/>
        </w:rPr>
        <w:t>(</w:t>
      </w:r>
      <w:r w:rsidRPr="00040071">
        <w:rPr>
          <w:rFonts w:cs="Arial"/>
          <w:iCs/>
          <w:szCs w:val="20"/>
        </w:rPr>
        <w:t>nome)</w:t>
      </w:r>
      <w:r w:rsidRPr="00040071">
        <w:rPr>
          <w:rFonts w:cs="Arial"/>
          <w:szCs w:val="20"/>
        </w:rPr>
        <w:t>, nomeado(</w:t>
      </w:r>
      <w:proofErr w:type="gramStart"/>
      <w:r w:rsidRPr="00040071">
        <w:rPr>
          <w:rFonts w:cs="Arial"/>
          <w:szCs w:val="20"/>
        </w:rPr>
        <w:t>a)  pelo</w:t>
      </w:r>
      <w:proofErr w:type="gramEnd"/>
      <w:r w:rsidRPr="00040071">
        <w:rPr>
          <w:rFonts w:cs="Arial"/>
          <w:szCs w:val="20"/>
        </w:rPr>
        <w:t xml:space="preserve"> Decreto Presidencial n</w:t>
      </w:r>
      <w:r>
        <w:rPr>
          <w:rFonts w:cs="Arial"/>
          <w:szCs w:val="20"/>
        </w:rPr>
        <w:t>º.........</w:t>
      </w:r>
      <w:r w:rsidR="0070059F" w:rsidRPr="00391D87">
        <w:rPr>
          <w:rFonts w:cs="Times New Roman"/>
          <w:szCs w:val="20"/>
        </w:rPr>
        <w:t>, publicada no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i/>
          <w:iCs/>
          <w:szCs w:val="20"/>
        </w:rPr>
        <w:t>DOU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 w:rsidR="0070059F" w:rsidRPr="00391D87">
        <w:rPr>
          <w:rFonts w:cs="Times New Roman"/>
          <w:color w:val="FF0000"/>
          <w:szCs w:val="20"/>
        </w:rPr>
        <w:t xml:space="preserve">..............................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0059F" w:rsidRPr="00391D87">
        <w:rPr>
          <w:rFonts w:cs="Times New Roman"/>
          <w:color w:val="FF0000"/>
          <w:szCs w:val="20"/>
        </w:rPr>
        <w:t>..........</w:t>
      </w:r>
      <w:r w:rsidR="0070059F" w:rsidRPr="00391D87">
        <w:rPr>
          <w:rFonts w:cs="Times New Roman"/>
          <w:szCs w:val="20"/>
        </w:rPr>
        <w:t>/20</w:t>
      </w:r>
      <w:r w:rsidR="0070059F" w:rsidRPr="00391D87">
        <w:rPr>
          <w:rFonts w:cs="Times New Roman"/>
          <w:color w:val="FF0000"/>
          <w:szCs w:val="20"/>
        </w:rPr>
        <w:t>....</w:t>
      </w:r>
      <w:r w:rsidR="0070059F" w:rsidRPr="00391D87">
        <w:rPr>
          <w:rFonts w:cs="Times New Roman"/>
          <w:szCs w:val="20"/>
        </w:rPr>
        <w:t>, 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5346ECE3" w:rsidR="00B01E82" w:rsidRPr="00391D87" w:rsidRDefault="0070059F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804C50">
        <w:rPr>
          <w:rFonts w:cs="Arial"/>
          <w:color w:val="000000" w:themeColor="text1"/>
        </w:rPr>
        <w:t xml:space="preserve">Concessão </w:t>
      </w:r>
      <w:r w:rsidR="00804C50" w:rsidRPr="00E17024">
        <w:rPr>
          <w:rFonts w:cs="Arial"/>
          <w:color w:val="000000" w:themeColor="text1"/>
        </w:rPr>
        <w:t xml:space="preserve">de Uso </w:t>
      </w:r>
      <w:r w:rsidR="00804C50">
        <w:rPr>
          <w:rFonts w:cs="Arial"/>
        </w:rPr>
        <w:t xml:space="preserve">de um espaço físico destinado </w:t>
      </w:r>
      <w:r w:rsidR="008A3444">
        <w:rPr>
          <w:rFonts w:cs="Arial"/>
        </w:rPr>
        <w:t>instalação de uma lanchonete com aproximadamente 6</w:t>
      </w:r>
      <w:r w:rsidR="008A3444" w:rsidRPr="00CA7234">
        <w:rPr>
          <w:rFonts w:cs="Arial"/>
        </w:rPr>
        <w:t xml:space="preserve"> m2 nas dependências da Faculdade de Medicina-FAMED-Campus da Saúde da Universidade Federal</w:t>
      </w:r>
      <w:r w:rsidR="00804C50" w:rsidRPr="00CA7234">
        <w:rPr>
          <w:rFonts w:cs="Arial"/>
        </w:rPr>
        <w:t xml:space="preserve">, situada </w:t>
      </w:r>
      <w:r w:rsidR="00804C50">
        <w:rPr>
          <w:rFonts w:cs="Arial"/>
        </w:rPr>
        <w:t>na Rua Augusto Corrêa, nº 1, Guamá, Belém - PA</w:t>
      </w:r>
      <w:r w:rsidR="00804C50" w:rsidRPr="00E17024">
        <w:rPr>
          <w:rFonts w:cs="Arial"/>
          <w:bCs/>
        </w:rPr>
        <w:t>,</w:t>
      </w:r>
      <w:r w:rsidR="00804C50" w:rsidRPr="00E17024">
        <w:rPr>
          <w:rFonts w:cs="Arial"/>
        </w:rPr>
        <w:t xml:space="preserve"> conforme condições, quantidades e exigências estabelecidas neste Edital e seus anexos</w:t>
      </w:r>
      <w:r w:rsidR="00B01E82" w:rsidRPr="00391D87">
        <w:rPr>
          <w:rFonts w:cs="Times New Roman"/>
          <w:color w:val="000000"/>
          <w:szCs w:val="20"/>
        </w:rPr>
        <w:t>.</w:t>
      </w:r>
    </w:p>
    <w:p w14:paraId="1D19C079" w14:textId="77777777" w:rsidR="0070059F" w:rsidRPr="00391D87" w:rsidRDefault="00B01E82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2D1EDBAA" w:rsidR="000575AE" w:rsidRPr="00391D87" w:rsidRDefault="000575AE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040"/>
        <w:gridCol w:w="1980"/>
      </w:tblGrid>
      <w:tr w:rsidR="00865D0E" w:rsidRPr="00844240" w14:paraId="1D19C082" w14:textId="77777777" w:rsidTr="002669C3">
        <w:tc>
          <w:tcPr>
            <w:tcW w:w="1620" w:type="dxa"/>
          </w:tcPr>
          <w:p w14:paraId="1D19C07B" w14:textId="6E2A3F63" w:rsidR="00865D0E" w:rsidRPr="00865D0E" w:rsidRDefault="00865D0E" w:rsidP="00EC6EE9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865D0E">
              <w:rPr>
                <w:rFonts w:ascii="Ecofont_Spranq_eco_Sans" w:hAnsi="Ecofont_Spranq_eco_Sans"/>
                <w:b w:val="0"/>
                <w:bCs w:val="0"/>
                <w:i w:val="0"/>
                <w:iCs w:val="0"/>
                <w:sz w:val="18"/>
                <w:szCs w:val="18"/>
              </w:rPr>
              <w:t>ITEM (</w:t>
            </w:r>
            <w:r w:rsidR="00EC6EE9">
              <w:rPr>
                <w:rFonts w:ascii="Ecofont_Spranq_eco_Sans" w:hAnsi="Ecofont_Spranq_eco_Sans"/>
                <w:b w:val="0"/>
                <w:bCs w:val="0"/>
                <w:i w:val="0"/>
                <w:iCs w:val="0"/>
                <w:sz w:val="18"/>
                <w:szCs w:val="18"/>
              </w:rPr>
              <w:t>Concessão</w:t>
            </w:r>
            <w:r w:rsidRPr="00865D0E">
              <w:rPr>
                <w:rFonts w:ascii="Ecofont_Spranq_eco_Sans" w:hAnsi="Ecofont_Spranq_eco_Sans"/>
                <w:b w:val="0"/>
                <w:bCs w:val="0"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5040" w:type="dxa"/>
          </w:tcPr>
          <w:p w14:paraId="2DA7AEC8" w14:textId="77777777" w:rsidR="00865D0E" w:rsidRPr="00865D0E" w:rsidRDefault="00865D0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sz w:val="18"/>
                <w:szCs w:val="18"/>
              </w:rPr>
            </w:pPr>
            <w:r w:rsidRPr="00865D0E">
              <w:rPr>
                <w:rFonts w:ascii="Ecofont_Spranq_eco_Sans" w:hAnsi="Ecofont_Spranq_eco_Sans"/>
                <w:b w:val="0"/>
                <w:bCs w:val="0"/>
                <w:i w:val="0"/>
                <w:iCs w:val="0"/>
                <w:sz w:val="18"/>
                <w:szCs w:val="18"/>
              </w:rPr>
              <w:t>LOCAL DE EXECUÇÃO</w:t>
            </w:r>
          </w:p>
          <w:p w14:paraId="1D19C080" w14:textId="744F4910" w:rsidR="00865D0E" w:rsidRPr="00865D0E" w:rsidRDefault="00865D0E" w:rsidP="008B07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1D19C081" w14:textId="4305DA1C" w:rsidR="00865D0E" w:rsidRPr="00865D0E" w:rsidRDefault="002D31E8" w:rsidP="002D31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 da Taxa Mensal de Ocupação</w:t>
            </w:r>
          </w:p>
        </w:tc>
      </w:tr>
      <w:tr w:rsidR="00865D0E" w:rsidRPr="00391D87" w14:paraId="1D19C088" w14:textId="77777777" w:rsidTr="00865D0E">
        <w:trPr>
          <w:trHeight w:val="343"/>
        </w:trPr>
        <w:tc>
          <w:tcPr>
            <w:tcW w:w="1620" w:type="dxa"/>
          </w:tcPr>
          <w:p w14:paraId="1D19C083" w14:textId="3084DE42" w:rsidR="00865D0E" w:rsidRPr="00865D0E" w:rsidRDefault="00865D0E" w:rsidP="00865D0E">
            <w:pPr>
              <w:spacing w:after="120"/>
              <w:jc w:val="center"/>
              <w:rPr>
                <w:szCs w:val="20"/>
              </w:rPr>
            </w:pPr>
          </w:p>
        </w:tc>
        <w:tc>
          <w:tcPr>
            <w:tcW w:w="5040" w:type="dxa"/>
          </w:tcPr>
          <w:p w14:paraId="1D19C086" w14:textId="62FAA5EA" w:rsidR="00865D0E" w:rsidRPr="00865D0E" w:rsidRDefault="002D731A" w:rsidP="008A3444">
            <w:pPr>
              <w:spacing w:after="120"/>
              <w:rPr>
                <w:szCs w:val="20"/>
              </w:rPr>
            </w:pPr>
            <w:r>
              <w:rPr>
                <w:rFonts w:cs="Arial"/>
                <w:color w:val="000000" w:themeColor="text1"/>
              </w:rPr>
              <w:t xml:space="preserve">Concessão </w:t>
            </w:r>
            <w:r w:rsidRPr="00E17024">
              <w:rPr>
                <w:rFonts w:cs="Arial"/>
                <w:color w:val="000000" w:themeColor="text1"/>
              </w:rPr>
              <w:t xml:space="preserve">de Uso </w:t>
            </w:r>
            <w:r>
              <w:rPr>
                <w:rFonts w:cs="Arial"/>
              </w:rPr>
              <w:t>de um espaço físico destinado à instalação de uma lanchonete com aproximadamente 6</w:t>
            </w:r>
            <w:r w:rsidRPr="008B3F35">
              <w:rPr>
                <w:rFonts w:cs="Arial"/>
                <w:color w:val="FF0000"/>
              </w:rPr>
              <w:t xml:space="preserve"> m2 </w:t>
            </w:r>
            <w:r>
              <w:rPr>
                <w:rFonts w:cs="Arial"/>
              </w:rPr>
              <w:t>nas dependências da Faculdade de Medicina-</w:t>
            </w:r>
            <w:r>
              <w:rPr>
                <w:rFonts w:cs="Arial"/>
              </w:rPr>
              <w:lastRenderedPageBreak/>
              <w:t>FAMED-Campus da Saúde da Universidade Federal do Pará-UFPA</w:t>
            </w:r>
          </w:p>
        </w:tc>
        <w:tc>
          <w:tcPr>
            <w:tcW w:w="1980" w:type="dxa"/>
          </w:tcPr>
          <w:p w14:paraId="1D19C087" w14:textId="2A1631E5" w:rsidR="00865D0E" w:rsidRPr="00865D0E" w:rsidRDefault="00865D0E" w:rsidP="008B0761">
            <w:pPr>
              <w:spacing w:after="120"/>
              <w:rPr>
                <w:szCs w:val="20"/>
              </w:rPr>
            </w:pPr>
            <w:r w:rsidRPr="00865D0E">
              <w:rPr>
                <w:szCs w:val="20"/>
              </w:rPr>
              <w:lastRenderedPageBreak/>
              <w:t>R$</w:t>
            </w:r>
          </w:p>
        </w:tc>
      </w:tr>
    </w:tbl>
    <w:p w14:paraId="1D19C09C" w14:textId="77777777" w:rsidR="0070059F" w:rsidRPr="009E4250" w:rsidRDefault="0070059F" w:rsidP="0048130E">
      <w:pPr>
        <w:pStyle w:val="Nivel1"/>
        <w:rPr>
          <w:bCs/>
          <w:iCs/>
        </w:rPr>
      </w:pPr>
      <w:r w:rsidRPr="009E4250">
        <w:t>CLÁUSULA SEGUNDA – VIGÊNCIA</w:t>
      </w:r>
    </w:p>
    <w:p w14:paraId="5DDA49E7" w14:textId="77777777" w:rsidR="006E03BC" w:rsidRPr="009E4250" w:rsidRDefault="006E03BC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9E4250">
        <w:rPr>
          <w:rFonts w:cs="Arial"/>
          <w:bCs/>
          <w:iCs/>
          <w:szCs w:val="20"/>
        </w:rPr>
        <w:t>O prazo de vigência deste Termo de Contrato é de 12 (doze) meses, a contar da data de sua assinatura, com eficácia após a publicação do seu extrato no DOU, tendo início e vencimento em dias de expediente, devendo-se excluir o primeiro e incluir o último.</w:t>
      </w:r>
    </w:p>
    <w:p w14:paraId="1A520DFE" w14:textId="243D9385" w:rsidR="006E03BC" w:rsidRPr="009E4250" w:rsidRDefault="006E03BC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9E4250">
        <w:rPr>
          <w:rFonts w:cs="Arial"/>
          <w:bCs/>
          <w:iCs/>
          <w:szCs w:val="20"/>
        </w:rPr>
        <w:t xml:space="preserve">O contrato </w:t>
      </w:r>
      <w:r w:rsidRPr="009E4250">
        <w:rPr>
          <w:rFonts w:cs="Arial"/>
          <w:szCs w:val="20"/>
        </w:rPr>
        <w:t xml:space="preserve">pode ser prorrogado por interesse das partes até </w:t>
      </w:r>
      <w:r w:rsidR="00154A28" w:rsidRPr="009E4250">
        <w:rPr>
          <w:rFonts w:cs="Arial"/>
          <w:szCs w:val="20"/>
        </w:rPr>
        <w:t>o limite</w:t>
      </w:r>
      <w:r w:rsidRPr="009E4250">
        <w:rPr>
          <w:rFonts w:cs="Arial"/>
          <w:szCs w:val="20"/>
        </w:rPr>
        <w:t xml:space="preserve"> de 60 (sessenta) meses, desde que haja autorização formal da autoridade competente e observados os seguintes requisitos:</w:t>
      </w:r>
    </w:p>
    <w:p w14:paraId="58EF9267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79D05E0B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49B4CA06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37B7361A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0AA348D5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352DCE80" w14:textId="77777777" w:rsidR="006E03BC" w:rsidRPr="009E4250" w:rsidRDefault="006E03BC" w:rsidP="003C56C0">
      <w:pPr>
        <w:numPr>
          <w:ilvl w:val="2"/>
          <w:numId w:val="1"/>
        </w:numPr>
        <w:spacing w:before="120" w:after="120" w:line="276" w:lineRule="auto"/>
        <w:ind w:left="1560"/>
        <w:jc w:val="both"/>
        <w:rPr>
          <w:rFonts w:cs="Arial"/>
          <w:bCs/>
          <w:iCs/>
          <w:szCs w:val="20"/>
        </w:rPr>
      </w:pPr>
      <w:r w:rsidRPr="009E4250">
        <w:rPr>
          <w:rFonts w:cs="Arial"/>
          <w:bCs/>
          <w:iCs/>
          <w:szCs w:val="20"/>
        </w:rPr>
        <w:t>Seja comprovado que o contratado mantém as condições iniciais de habilitação.  </w:t>
      </w:r>
    </w:p>
    <w:p w14:paraId="1D19C0A6" w14:textId="38A8556C" w:rsidR="0070059F" w:rsidRPr="00391D87" w:rsidRDefault="0070059F" w:rsidP="00AE2166">
      <w:pPr>
        <w:pStyle w:val="Nivel1"/>
        <w:rPr>
          <w:bCs/>
        </w:rPr>
      </w:pPr>
      <w:r w:rsidRPr="00391D87">
        <w:t xml:space="preserve">CLÁUSULA TERCEIRA – </w:t>
      </w:r>
      <w:r w:rsidR="00AE2166">
        <w:t>C</w:t>
      </w:r>
      <w:r w:rsidR="00AE2166" w:rsidRPr="00AE2166">
        <w:t>ONDIÇÕES DE PAGAMENTO</w:t>
      </w:r>
    </w:p>
    <w:p w14:paraId="1D19C0A7" w14:textId="30CF1B64" w:rsidR="006D4AB0" w:rsidRPr="00AE2166" w:rsidRDefault="0070059F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AE2166">
        <w:rPr>
          <w:rFonts w:cs="Arial"/>
          <w:szCs w:val="20"/>
        </w:rPr>
        <w:t xml:space="preserve">O </w:t>
      </w:r>
      <w:r w:rsidR="00154A28" w:rsidRPr="00AE2166">
        <w:rPr>
          <w:rFonts w:cs="Arial"/>
          <w:szCs w:val="20"/>
        </w:rPr>
        <w:t>Valor Me</w:t>
      </w:r>
      <w:r w:rsidR="00154A28">
        <w:rPr>
          <w:rFonts w:cs="Arial"/>
          <w:szCs w:val="20"/>
        </w:rPr>
        <w:t>nsal d</w:t>
      </w:r>
      <w:r w:rsidR="00154A28" w:rsidRPr="00AE2166">
        <w:rPr>
          <w:rFonts w:cs="Arial"/>
          <w:szCs w:val="20"/>
        </w:rPr>
        <w:t xml:space="preserve">a </w:t>
      </w:r>
      <w:r w:rsidR="00154A28">
        <w:rPr>
          <w:rFonts w:cs="Arial"/>
          <w:szCs w:val="20"/>
        </w:rPr>
        <w:t xml:space="preserve">Taxa de Ocupação </w:t>
      </w:r>
      <w:r w:rsidR="006D4AB0" w:rsidRPr="00AE2166">
        <w:rPr>
          <w:rFonts w:cs="Arial"/>
          <w:szCs w:val="20"/>
        </w:rPr>
        <w:t>é de R$.......... (</w:t>
      </w:r>
      <w:proofErr w:type="gramStart"/>
      <w:r w:rsidR="006D4AB0" w:rsidRPr="00AE2166">
        <w:rPr>
          <w:rFonts w:cs="Arial"/>
          <w:szCs w:val="20"/>
        </w:rPr>
        <w:t>.....</w:t>
      </w:r>
      <w:proofErr w:type="gramEnd"/>
      <w:r w:rsidR="006D4AB0" w:rsidRPr="00AE2166">
        <w:rPr>
          <w:rFonts w:cs="Arial"/>
          <w:szCs w:val="20"/>
        </w:rPr>
        <w:t>), perfazendo o valor total</w:t>
      </w:r>
      <w:r w:rsidR="00AE2166" w:rsidRPr="00AE2166">
        <w:rPr>
          <w:rFonts w:cs="Arial"/>
          <w:szCs w:val="20"/>
        </w:rPr>
        <w:t xml:space="preserve"> anual </w:t>
      </w:r>
      <w:r w:rsidR="006D4AB0" w:rsidRPr="00AE2166">
        <w:rPr>
          <w:rFonts w:cs="Arial"/>
          <w:szCs w:val="20"/>
        </w:rPr>
        <w:t>de R$.......(....).</w:t>
      </w:r>
    </w:p>
    <w:p w14:paraId="39CDA451" w14:textId="77777777" w:rsidR="00AE2166" w:rsidRPr="00AE2166" w:rsidRDefault="00AE2166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AE2166">
        <w:rPr>
          <w:rFonts w:cs="Arial"/>
          <w:szCs w:val="20"/>
        </w:rPr>
        <w:t>17.1. O pagamento da Permissão de uso do espaço deverá ser feita até o dia 5º (cinco) dia útil de cada mês na conta da UFPA, no Banco do Brasil.</w:t>
      </w:r>
    </w:p>
    <w:p w14:paraId="396DCD70" w14:textId="27C54CC0" w:rsidR="00AE2166" w:rsidRPr="00AE2166" w:rsidRDefault="00AE2166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AE2166">
        <w:rPr>
          <w:rFonts w:cs="Arial"/>
          <w:szCs w:val="20"/>
        </w:rPr>
        <w:t>Deverá a Permissionária encaminhar uma cópia do recolhimento do pagamento a Unidade Fiscalizadora no prazo máximo de 02 (dois) dias após o pagamento.</w:t>
      </w:r>
    </w:p>
    <w:p w14:paraId="446F03A0" w14:textId="571E28A2" w:rsidR="00AE2166" w:rsidRPr="00AE2166" w:rsidRDefault="00AE2166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AE2166">
        <w:rPr>
          <w:rFonts w:cs="Arial"/>
          <w:szCs w:val="20"/>
        </w:rPr>
        <w:t>Ocorrendo atraso no pagamento da Permissão, será aplicada multa de 10% (dez por cento) sobre seu valor, além de juros de mora de 1% (um por cento) ao mês, com correção monetária até a efetiva regularização.</w:t>
      </w:r>
    </w:p>
    <w:p w14:paraId="7C408E30" w14:textId="3B09A23F" w:rsidR="00AE2166" w:rsidRPr="00AE2166" w:rsidRDefault="00AE2166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AE2166">
        <w:rPr>
          <w:rFonts w:cs="Arial"/>
          <w:szCs w:val="20"/>
        </w:rPr>
        <w:t xml:space="preserve">As despesas relativas ao consumo de água e energia elétrica correrão por conta da </w:t>
      </w:r>
      <w:proofErr w:type="spellStart"/>
      <w:r w:rsidRPr="00AE2166">
        <w:rPr>
          <w:rFonts w:cs="Arial"/>
          <w:szCs w:val="20"/>
        </w:rPr>
        <w:t>Permitente</w:t>
      </w:r>
      <w:proofErr w:type="spellEnd"/>
      <w:r w:rsidRPr="00AE2166">
        <w:rPr>
          <w:rFonts w:cs="Arial"/>
          <w:szCs w:val="20"/>
        </w:rPr>
        <w:t>, e já estão incluídas no valor da permissão.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1D19C0B5" w14:textId="78282E26" w:rsidR="006E3CA5" w:rsidRPr="00391D87" w:rsidRDefault="00AE2166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O presente contrato não gera ônus </w:t>
      </w:r>
      <w:r w:rsidR="00FA1683">
        <w:rPr>
          <w:rFonts w:cs="Times New Roman"/>
          <w:szCs w:val="20"/>
        </w:rPr>
        <w:t xml:space="preserve">financeiro </w:t>
      </w:r>
      <w:r>
        <w:rPr>
          <w:rFonts w:cs="Times New Roman"/>
          <w:szCs w:val="20"/>
        </w:rPr>
        <w:t>à Instituição, não sendo necessária a indicação de fonte orçamentária</w:t>
      </w:r>
    </w:p>
    <w:p w14:paraId="1D19C0B8" w14:textId="77777777" w:rsidR="006E3CA5" w:rsidRPr="00391D87" w:rsidRDefault="0070059F" w:rsidP="0048130E">
      <w:pPr>
        <w:pStyle w:val="Nivel1"/>
      </w:pPr>
      <w:r w:rsidRPr="00391D87">
        <w:lastRenderedPageBreak/>
        <w:t>CLÁUSULA SEXTA – R</w:t>
      </w:r>
      <w:r w:rsidR="00A27DA5" w:rsidRPr="00391D87">
        <w:t>E</w:t>
      </w:r>
      <w:r w:rsidR="0021493D" w:rsidRPr="00391D87">
        <w:t>AJUSTE</w:t>
      </w:r>
    </w:p>
    <w:p w14:paraId="462090F3" w14:textId="77777777" w:rsidR="00FA1683" w:rsidRPr="00154A28" w:rsidRDefault="00FA1683" w:rsidP="00154A28">
      <w:pPr>
        <w:pStyle w:val="Nivel1"/>
        <w:numPr>
          <w:ilvl w:val="1"/>
          <w:numId w:val="1"/>
        </w:numPr>
        <w:spacing w:before="0"/>
        <w:rPr>
          <w:b w:val="0"/>
          <w:lang w:val="af-ZA"/>
        </w:rPr>
      </w:pPr>
      <w:r w:rsidRPr="00154A28">
        <w:rPr>
          <w:b w:val="0"/>
          <w:lang w:val="af-ZA"/>
        </w:rPr>
        <w:t>admitido o reajuste dos preços da forma abaixo:</w:t>
      </w:r>
    </w:p>
    <w:p w14:paraId="20F18D6B" w14:textId="433D7FC4" w:rsidR="00FA1683" w:rsidRPr="00154A28" w:rsidRDefault="00FA1683" w:rsidP="00154A28">
      <w:pPr>
        <w:pStyle w:val="Nivel1"/>
        <w:numPr>
          <w:ilvl w:val="2"/>
          <w:numId w:val="1"/>
        </w:numPr>
        <w:spacing w:before="0"/>
        <w:rPr>
          <w:b w:val="0"/>
          <w:lang w:val="af-ZA"/>
        </w:rPr>
      </w:pPr>
      <w:r w:rsidRPr="00154A28">
        <w:rPr>
          <w:b w:val="0"/>
          <w:lang w:val="af-ZA"/>
        </w:rPr>
        <w:t>A taxa mensal  referente ao espaço físico e a água será reajustada anualmente na data da renovação do contrato pelo Índice IGP-M – Índice Geral de Preços do Mercado/FGV;</w:t>
      </w:r>
    </w:p>
    <w:p w14:paraId="78E72B3A" w14:textId="6DCAF545" w:rsidR="00FA1683" w:rsidRPr="00154A28" w:rsidRDefault="00FA1683" w:rsidP="00154A28">
      <w:pPr>
        <w:pStyle w:val="Nivel1"/>
        <w:numPr>
          <w:ilvl w:val="2"/>
          <w:numId w:val="1"/>
        </w:numPr>
        <w:spacing w:before="0"/>
        <w:rPr>
          <w:b w:val="0"/>
          <w:lang w:val="af-ZA"/>
        </w:rPr>
      </w:pPr>
      <w:r w:rsidRPr="00154A28">
        <w:rPr>
          <w:b w:val="0"/>
          <w:lang w:val="af-ZA"/>
        </w:rPr>
        <w:tab/>
        <w:t>A taxa mensal  referente a energia elétrica será reajustada de acordo com o publicado pela Agência Nacional de Energia Elétrica (ANEEL) para a concessionária local;</w:t>
      </w:r>
    </w:p>
    <w:p w14:paraId="5EAE01DB" w14:textId="1D7746CD" w:rsidR="00FA1683" w:rsidRPr="00154A28" w:rsidRDefault="00FA1683" w:rsidP="00154A28">
      <w:pPr>
        <w:pStyle w:val="Nivel1"/>
        <w:numPr>
          <w:ilvl w:val="2"/>
          <w:numId w:val="1"/>
        </w:numPr>
        <w:spacing w:before="0"/>
        <w:rPr>
          <w:rFonts w:cs="Arial"/>
          <w:b w:val="0"/>
          <w:bCs/>
        </w:rPr>
      </w:pPr>
      <w:r w:rsidRPr="00154A28">
        <w:rPr>
          <w:b w:val="0"/>
          <w:lang w:val="af-ZA"/>
        </w:rPr>
        <w:tab/>
        <w:t>A taxa de limpeza externa sofrerá reajuste, tomando como base o contrato de asseio e conservação, da Instituição, vigente.</w:t>
      </w:r>
    </w:p>
    <w:p w14:paraId="493FC6F4" w14:textId="44CB20D8" w:rsidR="00E3197B" w:rsidRPr="00C07443" w:rsidRDefault="0070059F" w:rsidP="00C07443">
      <w:pPr>
        <w:pStyle w:val="Nivel1"/>
      </w:pPr>
      <w:r w:rsidRPr="00C07443">
        <w:t>CLÁUSULA SÉTIMA – GARANTIA DE EXECUÇÃO</w:t>
      </w:r>
    </w:p>
    <w:p w14:paraId="6F8BFDAD" w14:textId="77777777" w:rsidR="00C07443" w:rsidRPr="00C07443" w:rsidRDefault="00C07443" w:rsidP="003C56C0">
      <w:pPr>
        <w:numPr>
          <w:ilvl w:val="1"/>
          <w:numId w:val="1"/>
        </w:numPr>
        <w:jc w:val="both"/>
      </w:pPr>
      <w:r w:rsidRPr="00C07443">
        <w:rPr>
          <w:rFonts w:cs="Arial"/>
          <w:szCs w:val="20"/>
        </w:rPr>
        <w:t>O licitante vencedor deverá apresentar, como garantia da execução dos serviços e fiel cumprimento do contrato caução em dinheiro ou títulos de dívida pública; ou seguro-garantia; ou fiança bancária, correspondente a 5 % (cinco por cento) do valor do contrato.</w:t>
      </w:r>
    </w:p>
    <w:p w14:paraId="05ECFD39" w14:textId="3E1DADE5" w:rsidR="00C07443" w:rsidRPr="00E21D99" w:rsidRDefault="00C07443" w:rsidP="003C56C0">
      <w:pPr>
        <w:numPr>
          <w:ilvl w:val="2"/>
          <w:numId w:val="1"/>
        </w:numPr>
        <w:jc w:val="both"/>
      </w:pPr>
      <w:r w:rsidRPr="00E21D99">
        <w:t>Caso a garantia prestada consista em títulos da dívida pública, estes deverão ter sido emitidos sob a forma escritural, mediante registro em sistema centralizado de liquidação e de custódia autorizado pelo Banco Central do Brasil e avaliados pelos seus valores econômicos, conforme definido pelo Ministério da Fazenda.</w:t>
      </w:r>
    </w:p>
    <w:p w14:paraId="4E38AC67" w14:textId="77777777" w:rsidR="00C07443" w:rsidRPr="00C07443" w:rsidRDefault="00C07443" w:rsidP="003C56C0">
      <w:pPr>
        <w:numPr>
          <w:ilvl w:val="1"/>
          <w:numId w:val="1"/>
        </w:numPr>
        <w:jc w:val="both"/>
      </w:pPr>
      <w:r w:rsidRPr="00C07443">
        <w:rPr>
          <w:rFonts w:cs="Arial"/>
          <w:szCs w:val="20"/>
        </w:rPr>
        <w:t>A garantia será renovada sucessivamente até o término do contrato e sempre que seu valor seja objeto de alteração, utilizando-se para tal o Índice Geral de Preços do Mercado (IGP-M), fornecido pela Fundação Getúlio Vargas.</w:t>
      </w:r>
    </w:p>
    <w:p w14:paraId="514C1050" w14:textId="6F3ABBD0" w:rsidR="00E3197B" w:rsidRPr="004710C7" w:rsidRDefault="00C07443" w:rsidP="003C56C0">
      <w:pPr>
        <w:numPr>
          <w:ilvl w:val="1"/>
          <w:numId w:val="1"/>
        </w:numPr>
        <w:jc w:val="both"/>
      </w:pPr>
      <w:r w:rsidRPr="00E21D99">
        <w:t>Após o cumprimento fiel e integral do contrato, tendo sido expedido o Termo de Recebimento, a UFPA fará, sob requerimento, a devolução da garantia à CONTRATADA</w:t>
      </w:r>
    </w:p>
    <w:p w14:paraId="64CCFB21" w14:textId="77777777" w:rsidR="00637578" w:rsidRPr="00057E0C" w:rsidRDefault="00637578" w:rsidP="00637578"/>
    <w:p w14:paraId="203CEC6F" w14:textId="1B315DF6" w:rsidR="00BE3EBC" w:rsidRDefault="0070059F" w:rsidP="00BE3EBC">
      <w:pPr>
        <w:pStyle w:val="Nivel1"/>
        <w:rPr>
          <w:lang w:val="af-ZA"/>
        </w:rPr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BE3EBC" w:rsidRPr="00BE3EBC">
        <w:t>DO CONTROLE E FISCALIZAÇÃO DA EXECUÇÃO</w:t>
      </w:r>
    </w:p>
    <w:p w14:paraId="4660B4BD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13.1.</w:t>
      </w:r>
      <w:r w:rsidRPr="00BE3EBC">
        <w:rPr>
          <w:lang w:val="af-ZA"/>
        </w:rPr>
        <w:tab/>
        <w:t>O acompanhamento e a fiscalização da execução da Concessão será de responsabilidade da Administração do CEBN/PROAD UFPA, devendo ser exercido por um ou mais representantes da Contratante, especialmente designados, na forma dos arts. 67 e 73 da Lei nº 8.666, de 1993, e do art. 6º do Decreto nº 2.271, de 1997;</w:t>
      </w:r>
    </w:p>
    <w:p w14:paraId="07029320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13.2.</w:t>
      </w:r>
      <w:r w:rsidRPr="00BE3EBC">
        <w:rPr>
          <w:lang w:val="af-ZA"/>
        </w:rPr>
        <w:tab/>
        <w:t>O representante da Concessora deverá promover o registro das ocorrências verificadas, adotando as providências necessárias ao fiel cumprimento das cláusulas contratuais, conforme o disposto nos §§ 1º e 2º do art. 67 da Lei nº 8.666, de 1993;</w:t>
      </w:r>
    </w:p>
    <w:p w14:paraId="08D2EBA6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13.3.</w:t>
      </w:r>
      <w:r w:rsidRPr="00BE3EBC">
        <w:rPr>
          <w:lang w:val="af-ZA"/>
        </w:rPr>
        <w:tab/>
        <w:t>O  descumprimento total ou  parcial das demais obrigações e responsabilidades assumidas pela Concessionária, incluindo a não manutenção das condições de habilitação, ensejará a aplicação de sanções administrativas, previstas no instrumento convocatório e na legislação vigente, podendo culminar em rescisão contratual, conforme disposto nos artigos 77 e 80 da Lei nº 8.666, de 1993.</w:t>
      </w:r>
    </w:p>
    <w:p w14:paraId="1EA6FB8D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13.4.      Cabe ainda à Concessora:</w:t>
      </w:r>
    </w:p>
    <w:p w14:paraId="070D0533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a)</w:t>
      </w:r>
      <w:r w:rsidRPr="00BE3EBC">
        <w:rPr>
          <w:lang w:val="af-ZA"/>
        </w:rPr>
        <w:tab/>
        <w:t xml:space="preserve"> Supervisionar a execução dos serviços de lanchonete por intermédio de servidor que tenha habilitação técnica para tal, a ser designado pela CONCESSORA;</w:t>
      </w:r>
    </w:p>
    <w:p w14:paraId="198D391E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b)</w:t>
      </w:r>
      <w:r w:rsidRPr="00BE3EBC">
        <w:rPr>
          <w:lang w:val="af-ZA"/>
        </w:rPr>
        <w:tab/>
        <w:t xml:space="preserve"> Verificar a limpeza da área física, equipamentos, móveis e utensílios utilizados na execução dos serviços;</w:t>
      </w:r>
    </w:p>
    <w:p w14:paraId="59D4E13B" w14:textId="7777777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>c)</w:t>
      </w:r>
      <w:r w:rsidRPr="00BE3EBC">
        <w:rPr>
          <w:lang w:val="af-ZA"/>
        </w:rPr>
        <w:tab/>
        <w:t xml:space="preserve"> Apresentação dos empregados, visando observar os hábitos de higiene e limpeza dos uniformes calçados;</w:t>
      </w:r>
    </w:p>
    <w:p w14:paraId="0E8D3778" w14:textId="56D16A27" w:rsidR="00BE3EBC" w:rsidRPr="00BE3EBC" w:rsidRDefault="00BE3EBC" w:rsidP="00BE3EBC">
      <w:pPr>
        <w:rPr>
          <w:lang w:val="af-ZA"/>
        </w:rPr>
      </w:pPr>
      <w:r w:rsidRPr="00BE3EBC">
        <w:rPr>
          <w:lang w:val="af-ZA"/>
        </w:rPr>
        <w:t xml:space="preserve"> Relatar as ocorrências que exijam a comunicação às autoridades sanitárias.</w:t>
      </w:r>
    </w:p>
    <w:p w14:paraId="1D19C0C3" w14:textId="791E0CD1" w:rsidR="0070059F" w:rsidRPr="00391D87" w:rsidRDefault="0070059F" w:rsidP="00154AB7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</w:t>
      </w:r>
      <w:r w:rsidR="00154AB7" w:rsidRPr="00154AB7">
        <w:t>OBRIGAÇÕES DA CONCESSORA</w:t>
      </w:r>
      <w:r w:rsidR="00154AB7">
        <w:t xml:space="preserve"> E CESSIONÁRIA</w:t>
      </w:r>
    </w:p>
    <w:p w14:paraId="4141B431" w14:textId="376D627E" w:rsidR="00BE3EBC" w:rsidRPr="00BE3EBC" w:rsidRDefault="00154AB7" w:rsidP="00BE3EBC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Da concessora:</w:t>
      </w:r>
    </w:p>
    <w:p w14:paraId="681A5790" w14:textId="7A684846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>Promover, através do seu representante, o acompanhamento e a fiscalização da realização dos serviços, sob os aspectos quantitativos, anotando em registro próprio as falhas detectadas e comunicando as ocorrências de quaisquer fatos que, a seu critério, exijam medidas corretivas por parte da CONCESSIONÁRIA;</w:t>
      </w:r>
    </w:p>
    <w:p w14:paraId="559E118B" w14:textId="0DA990BB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lastRenderedPageBreak/>
        <w:t>Fornecer ramal de telefone para a comunicação interna;</w:t>
      </w:r>
    </w:p>
    <w:p w14:paraId="2C13E05B" w14:textId="3D220D9B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>Supervisionar a execução dos serviços;</w:t>
      </w:r>
    </w:p>
    <w:p w14:paraId="1192DB41" w14:textId="5E70CB93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>Exigir o cumprimento de todas as obrigações assumidas pela Concessionária, de acordo com as cláusulas da outorga e os termos de sua proposta;</w:t>
      </w:r>
    </w:p>
    <w:p w14:paraId="49F1F812" w14:textId="283E9F32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>Proporcionar à CONCESSIONÁRIA todas as condições necessárias ao pleno cumprimento das obrigações decorrentes do presente Contrato, entregando o espaço físico locado em condições de funcionamento no ato de sua entrega para que a Concessionária possa cumprir suas obrigações dentro dos prazos estabelecidos;</w:t>
      </w:r>
    </w:p>
    <w:p w14:paraId="62C6B1DD" w14:textId="056DFE02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 xml:space="preserve">Prestar as informações e os esclarecimentos que venham a ser solicitados pela </w:t>
      </w:r>
      <w:proofErr w:type="gramStart"/>
      <w:r w:rsidRPr="00BE3EBC">
        <w:rPr>
          <w:rFonts w:cs="Times New Roman"/>
          <w:szCs w:val="20"/>
        </w:rPr>
        <w:t>Concessionária;;</w:t>
      </w:r>
      <w:proofErr w:type="gramEnd"/>
    </w:p>
    <w:p w14:paraId="7BA257A1" w14:textId="67B65915" w:rsidR="00BE3EBC" w:rsidRPr="00BE3EBC" w:rsidRDefault="00BE3EBC" w:rsidP="00BE3EBC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BE3EBC">
        <w:rPr>
          <w:rFonts w:cs="Times New Roman"/>
          <w:szCs w:val="20"/>
        </w:rPr>
        <w:t>Exigir a reparação de danos causados pelo uso indevido das instalações físicas fornecidos para execução dos serviços;</w:t>
      </w:r>
    </w:p>
    <w:p w14:paraId="333A8EB3" w14:textId="672719E7" w:rsidR="00154AB7" w:rsidRPr="00AE45E4" w:rsidRDefault="00BE3EBC" w:rsidP="009905A6">
      <w:pPr>
        <w:pStyle w:val="PargrafodaLista"/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AE45E4">
        <w:rPr>
          <w:rFonts w:cs="Times New Roman"/>
          <w:szCs w:val="20"/>
        </w:rPr>
        <w:t xml:space="preserve">Fornecimento de água, recolhimento de lixo (nos moldes constantes no </w:t>
      </w:r>
      <w:proofErr w:type="spellStart"/>
      <w:r w:rsidRPr="00AE45E4">
        <w:rPr>
          <w:rFonts w:cs="Times New Roman"/>
          <w:szCs w:val="20"/>
        </w:rPr>
        <w:t>intem</w:t>
      </w:r>
      <w:proofErr w:type="spellEnd"/>
      <w:r w:rsidRPr="00AE45E4">
        <w:rPr>
          <w:rFonts w:cs="Times New Roman"/>
          <w:szCs w:val="20"/>
        </w:rPr>
        <w:t xml:space="preserve"> </w:t>
      </w:r>
      <w:proofErr w:type="spellStart"/>
      <w:r w:rsidRPr="00AE45E4">
        <w:rPr>
          <w:rFonts w:cs="Times New Roman"/>
          <w:szCs w:val="20"/>
        </w:rPr>
        <w:t>xx</w:t>
      </w:r>
      <w:proofErr w:type="spellEnd"/>
      <w:r w:rsidRPr="00AE45E4">
        <w:rPr>
          <w:rFonts w:cs="Times New Roman"/>
          <w:szCs w:val="20"/>
        </w:rPr>
        <w:t xml:space="preserve"> deste Termo de Referência) e energia elétrica, levando-se em conta que estes itens estão incluídos no valor da Taxa mensal de utilização - T.M.U.</w:t>
      </w:r>
    </w:p>
    <w:p w14:paraId="75762184" w14:textId="77777777" w:rsidR="00AE45E4" w:rsidRPr="00AE45E4" w:rsidRDefault="00154AB7" w:rsidP="00AE45E4">
      <w:pPr>
        <w:numPr>
          <w:ilvl w:val="1"/>
          <w:numId w:val="1"/>
        </w:numPr>
        <w:spacing w:before="120" w:after="120" w:line="276" w:lineRule="auto"/>
        <w:jc w:val="both"/>
        <w:rPr>
          <w:lang w:val="af-ZA"/>
        </w:rPr>
      </w:pPr>
      <w:r w:rsidRPr="00154AB7">
        <w:rPr>
          <w:rFonts w:cs="Times New Roman"/>
          <w:szCs w:val="20"/>
        </w:rPr>
        <w:t xml:space="preserve">Da </w:t>
      </w:r>
      <w:r w:rsidR="00BE3EBC">
        <w:rPr>
          <w:rFonts w:cs="Times New Roman"/>
          <w:szCs w:val="20"/>
        </w:rPr>
        <w:t>con</w:t>
      </w:r>
      <w:r w:rsidRPr="00154AB7">
        <w:rPr>
          <w:rFonts w:cs="Times New Roman"/>
          <w:szCs w:val="20"/>
        </w:rPr>
        <w:t>cessionária:</w:t>
      </w:r>
    </w:p>
    <w:p w14:paraId="11D18F39" w14:textId="77777777" w:rsidR="00AE45E4" w:rsidRDefault="00AE45E4" w:rsidP="00E4092B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Utilizar a área a ser locada, única e exclusivamente, para instalação de serviços alimentícios, conforme previsto no Inciso I, art. 12º do Decreto no 3.725/01;</w:t>
      </w:r>
    </w:p>
    <w:p w14:paraId="4EC62DC4" w14:textId="77777777" w:rsidR="00AE45E4" w:rsidRDefault="00AE45E4" w:rsidP="007E2345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Utilizar equipamentos e materiais adequados ao desenvolvimento dos serviços, objeto deste contrato;</w:t>
      </w:r>
    </w:p>
    <w:p w14:paraId="32420552" w14:textId="77777777" w:rsidR="00AE45E4" w:rsidRDefault="00AE45E4" w:rsidP="007703FC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Utilizar o espaço cedido conforme especificações deste Termo de Referência e de sua proposta, bem como da legislação que normatiza a prestação de serviços bancários;</w:t>
      </w:r>
    </w:p>
    <w:p w14:paraId="7C57DC03" w14:textId="77777777" w:rsidR="00AE45E4" w:rsidRDefault="00AE45E4" w:rsidP="00644314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ab/>
        <w:t>Manter a área locada em perfeito estado de conservação, realizando as manutenções que por ventura se fizerem necessárias após a entre do espaço físico à Concessionária;</w:t>
      </w:r>
    </w:p>
    <w:p w14:paraId="4A0CB35B" w14:textId="77777777" w:rsidR="00AE45E4" w:rsidRDefault="00AE45E4" w:rsidP="00F55D10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Respeitar e fazer cumprir a legislação de proteção ao meio ambiente, previstas nas normas regulamentadoras pertinentes;</w:t>
      </w:r>
    </w:p>
    <w:p w14:paraId="65DBDB40" w14:textId="77777777" w:rsidR="00AE45E4" w:rsidRDefault="00AE45E4" w:rsidP="00591E32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Respeitar as Normas Brasileiras - NBR publicadas pela Associação Brasileira de Normas Técnicas sobre resíduos sólidos e os parâmetros estabelecidos na Lei n° 12.305/2010 – Política Nacional de Resíduos sólidos;</w:t>
      </w:r>
    </w:p>
    <w:p w14:paraId="441F7793" w14:textId="77777777" w:rsidR="00AE45E4" w:rsidRDefault="00AE45E4" w:rsidP="00D32039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Efetuar o recolhimento do produto ou embalagem oriundos da prestação dos serviços, para fins de destinação final ambientalmente adequada, a cargo dos fabricantes, importadores, distribuidores e comerciantes, conforme artigo 33 da Lei n° 12.305, de 2010, artigos 13 a 32 do Decreto n° 7.404, de 2010 e legislação correlata.</w:t>
      </w:r>
    </w:p>
    <w:p w14:paraId="1463C210" w14:textId="77777777" w:rsidR="00AE45E4" w:rsidRDefault="00AE45E4" w:rsidP="00B2188A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Não utilizar, na execução dos serviços, quaisquer das substâncias que destroem a Camada de Ozônio – SDO incluídas pelo Protocolo de Montreal, notadamente CFCs, Halons, CTC e tricloroetano, ou de qualquer produto ou equipamento que as contenha ou delas faça uso, à exceção dos usos essenciais permitidos pelo Protocolo de Montreal, conforme artigo 1°, parágrafo único, do Decreto n° 2.783, de 1998, e artigo 4° da Resolução CONAMA n° 267, de 14/11/2000 e legislação correlata;</w:t>
      </w:r>
    </w:p>
    <w:p w14:paraId="4D8DDA0B" w14:textId="77777777" w:rsidR="00AE45E4" w:rsidRDefault="00AE45E4" w:rsidP="00510048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Efetivar práticas de sustentabilidade ambiental, quando da execução dos serviços, utilizando produtos biodegradáveis, atóxicos, conforme ABNT NBR 15448-1 e 15448-2 controlando o consumo de energia, gás, água, assim como separar seletivamente os resíduos oriundos da prestação dos serviços;</w:t>
      </w:r>
    </w:p>
    <w:p w14:paraId="32A5E938" w14:textId="77777777" w:rsidR="00AE45E4" w:rsidRDefault="00AE45E4" w:rsidP="00ED28A1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Utilizar equipamentos de condicionamento de ar e assemelhados que minimizem o desperdício de energia de acordo com os parâmetros estabelecidos na Lei 10.295/2001 e Portaria INMETRO no 20, de 01/02/2006;</w:t>
      </w:r>
    </w:p>
    <w:p w14:paraId="660F9BE4" w14:textId="77777777" w:rsidR="00AE45E4" w:rsidRDefault="00AE45E4" w:rsidP="00983F70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lastRenderedPageBreak/>
        <w:t>Adotar medidas para evitar o desperdício de água tratada, conforme instituído no Decreto n° 48.138, de 08 de outubro de 2003;</w:t>
      </w:r>
    </w:p>
    <w:p w14:paraId="277C42BF" w14:textId="77777777" w:rsidR="00AE45E4" w:rsidRDefault="00AE45E4" w:rsidP="00405579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Orientar regularmente seus empregados acerca da adequada metodologia de otimização dos serviços, dando ênfase à economia no emprego de materiais e a racionalização de energia elétrica no uso dos equipamentos;</w:t>
      </w:r>
    </w:p>
    <w:p w14:paraId="22A1F2D3" w14:textId="77777777" w:rsidR="00AE45E4" w:rsidRDefault="00AE45E4" w:rsidP="007D6A12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Providenciar, junto aos órgãos competentes, as licenças, autorizações de funcionamento e alvarás, para o exercício de suas atividades;</w:t>
      </w:r>
    </w:p>
    <w:p w14:paraId="04A7DF47" w14:textId="77777777" w:rsidR="00AE45E4" w:rsidRDefault="00AE45E4" w:rsidP="00020096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Manter durante a vigência do concessão, em compatibilidade com as obrigações assumidas, todas as condições de habilitação e qualificação exigidas na licitação, apresentando os respectivos comprovantes, sempre que exigidos, mormente no competente pagamento.;</w:t>
      </w:r>
    </w:p>
    <w:p w14:paraId="68FEE496" w14:textId="77777777" w:rsidR="00AE45E4" w:rsidRDefault="00AE45E4" w:rsidP="00300D41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Manter preposto disponível, para representá-la na execução do concessão;</w:t>
      </w:r>
    </w:p>
    <w:p w14:paraId="6BD17615" w14:textId="77777777" w:rsidR="00AE45E4" w:rsidRDefault="00AE45E4" w:rsidP="00285C71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Responsabilizar-se, mensalmente, pelo recolhimento da Taxa Mensal de Utilização via GRU, conforme especificado no item 6. deste Termo de Referência;</w:t>
      </w:r>
    </w:p>
    <w:p w14:paraId="59469335" w14:textId="77777777" w:rsidR="00AE45E4" w:rsidRDefault="00AE45E4" w:rsidP="00E32D05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Permitir a fiscalização por parte do representante da CONESSORA, encarregado de acompanhar a execução dos serviços, prestando todos os esclarecimentos solicitados e corrigir no prazo determinado, as eventuais imperfeições e/ou irregularidades no curso da execução dos serviços, a partir da ocorrência verificada pelo fiscal do contrato; e atendendo às reclamações formuladas;</w:t>
      </w:r>
    </w:p>
    <w:p w14:paraId="6E024C9E" w14:textId="77777777" w:rsidR="00AE45E4" w:rsidRDefault="00AE45E4" w:rsidP="00A1357C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Instruir seus empregados quanto à necessidade de acatar as normas internas da Administração;</w:t>
      </w:r>
    </w:p>
    <w:p w14:paraId="18A121FC" w14:textId="77777777" w:rsidR="00AE45E4" w:rsidRDefault="00AE45E4" w:rsidP="00ED1D0F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Apresentar à Concessora, quando for o caso, a relação nominal dos empregados que adentrarão no órgão para a execução de serviços;</w:t>
      </w:r>
    </w:p>
    <w:p w14:paraId="3428DDB0" w14:textId="77777777" w:rsidR="00AE45E4" w:rsidRDefault="00AE45E4" w:rsidP="004F72A3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Caberá à CONCESSONÁRIA inteira responsabilidade por todos os encargos, impostos, taxas, seguros e tudo que em virtude de Lei ou Regulamento recaia ou venha a recair sobre os serviços, bem como por obrigação trabalhistas, fiscais, comerciais, previdenciárias, de acidentes e quaisquer outras decorrentes da relação empregatícias entre a empresa e seu pessoal;</w:t>
      </w:r>
    </w:p>
    <w:p w14:paraId="5355A076" w14:textId="77777777" w:rsidR="00AE45E4" w:rsidRDefault="00AE45E4" w:rsidP="00A663F7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Responsabilizar-se por quaisquer acidentes de que possam ser vítimas seus empregados, bem como pelos causados por estes a terceiros, responsabilizando-se, ainda, pela reparação dos danos causados ao patrimônio da CONCESSORA por parte de seus empregados;</w:t>
      </w:r>
    </w:p>
    <w:p w14:paraId="37FEA99D" w14:textId="77777777" w:rsidR="00AE45E4" w:rsidRPr="009E4250" w:rsidRDefault="00AE45E4" w:rsidP="00D226BC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 xml:space="preserve">Indenizar a CONCESSORA por quaisquer danos causados às suas instalações, pela execução inadequada dos serviços, por </w:t>
      </w:r>
      <w:r w:rsidRPr="009E4250">
        <w:rPr>
          <w:lang w:val="af-ZA"/>
        </w:rPr>
        <w:t>seus empregados e/ou fornecedores, podendo, entretanto, a seu exclusivo critério, optar pela reparação dos danos;</w:t>
      </w:r>
    </w:p>
    <w:p w14:paraId="4827BC1D" w14:textId="4698594A" w:rsidR="00AE45E4" w:rsidRPr="009E4250" w:rsidRDefault="00AE45E4" w:rsidP="007263E1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9E4250">
        <w:rPr>
          <w:lang w:val="af-ZA"/>
        </w:rPr>
        <w:t>Não transferir, a outrem, no todo ou em parte, o objeto do presente Contrato</w:t>
      </w:r>
      <w:r w:rsidR="009E4250" w:rsidRPr="009E4250">
        <w:rPr>
          <w:lang w:val="af-ZA"/>
        </w:rPr>
        <w:t>.</w:t>
      </w:r>
    </w:p>
    <w:p w14:paraId="09D918B1" w14:textId="77777777" w:rsidR="00AE45E4" w:rsidRDefault="00AE45E4" w:rsidP="00E745D0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9E4250">
        <w:rPr>
          <w:lang w:val="af-ZA"/>
        </w:rPr>
        <w:t>Cercar seus empregados das garantias e medidas de proteção, nos termos da legislação trabalhista, relativamente à higiene e segurança do trabalho</w:t>
      </w:r>
      <w:r w:rsidRPr="00AE45E4">
        <w:rPr>
          <w:lang w:val="af-ZA"/>
        </w:rPr>
        <w:t>;</w:t>
      </w:r>
    </w:p>
    <w:p w14:paraId="4AC0930A" w14:textId="77777777" w:rsidR="00AE45E4" w:rsidRPr="00AE45E4" w:rsidRDefault="00AE45E4" w:rsidP="000C473F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  <w:lang w:val="af-ZA"/>
        </w:rPr>
      </w:pPr>
      <w:r w:rsidRPr="00AE45E4">
        <w:rPr>
          <w:lang w:val="af-ZA"/>
        </w:rPr>
        <w:t>Na hipótese de extinção ou rescisão contratual, devolver deixando as instalações da lanchonete em perfeitas condições, de acordo com a vistoria realizada antes do início do funcionamento do serviço contratado;</w:t>
      </w:r>
    </w:p>
    <w:p w14:paraId="4FAC587A" w14:textId="77777777" w:rsidR="00AE45E4" w:rsidRPr="00AE45E4" w:rsidRDefault="00AE45E4" w:rsidP="003E35D0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rFonts w:cs="Arial"/>
          <w:szCs w:val="20"/>
          <w:lang w:val="af-ZA"/>
        </w:rPr>
        <w:t>Cuidar para que não faltem, durante o horário de atendimento, quaisquer itens programados nos cardápios;</w:t>
      </w:r>
    </w:p>
    <w:p w14:paraId="700E8D07" w14:textId="77777777" w:rsidR="00AE45E4" w:rsidRDefault="00AE45E4" w:rsidP="00A25CD3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apresentar carteira de saúde atualizada expedida por uma unidade de saúde do Estado ou Município e Carteira de Manipulador de Alimentos atualizada expedida pela Vigilância Sanitária do Município de Belém relativamente a Todos os funcionários vinculados à Conssecionária;</w:t>
      </w:r>
    </w:p>
    <w:p w14:paraId="4F2DC9C3" w14:textId="77777777" w:rsidR="00AE45E4" w:rsidRDefault="00AE45E4" w:rsidP="00187446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lastRenderedPageBreak/>
        <w:t>Garantir que os empregados postem-se sob as regras de higiene e identificação, substituindo aquele cuja conduta, a juízo da CONCESSORA, Se evidencie inconveniente ou inadequada à perfeita execução dos serviços;</w:t>
      </w:r>
    </w:p>
    <w:p w14:paraId="60822B2D" w14:textId="77777777" w:rsidR="00AE45E4" w:rsidRDefault="00AE45E4" w:rsidP="00B33773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Fornecer uniforme completo aos funcionários e mantê-los devidamente uniformizados. O uniforme completo compreende: gorro e/ou rede, calça comprida, camisa ou blusa, toucas descartáveis, aventais de plástico e de tecido, luvas descartáveis, máscaras descartáveis e sapatos fechados ou botas;</w:t>
      </w:r>
    </w:p>
    <w:p w14:paraId="76DEA7E4" w14:textId="77777777" w:rsidR="00AE45E4" w:rsidRDefault="00AE45E4" w:rsidP="00C64C78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Orientar os empregados que não será permitido o uso de adereços, pintura nas unhas, barba e cavanhaque;</w:t>
      </w:r>
    </w:p>
    <w:p w14:paraId="6863214A" w14:textId="77777777" w:rsidR="00AE45E4" w:rsidRDefault="00AE45E4" w:rsidP="0085027C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Manter os empregados devidamente registrados, com carteira de trabalho atualizada, qualificados e em quantidade suficiente para a prestação adequada e tempestiva dos serviços;</w:t>
      </w:r>
    </w:p>
    <w:p w14:paraId="15ECD9F7" w14:textId="77777777" w:rsidR="00AE45E4" w:rsidRDefault="00AE45E4" w:rsidP="00CF38F4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Assumir total e exclusivamente a responsabilidade por quaisquer ônus ou encargos relacionados com os seus empregados, na prestação dos serviços objeto do contrato, sejam eles decorrentes de Legislação Trabalhista, Social e Previdenciária, incluídas as indenizações por eventuais acidentes, moléstias e outras de natureza profissional e/ou ocupacional;</w:t>
      </w:r>
    </w:p>
    <w:p w14:paraId="0A775110" w14:textId="77777777" w:rsidR="00AE45E4" w:rsidRDefault="00AE45E4" w:rsidP="00F92CFF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Cumprir as exigências dos órgãos atrelados à Fiscalização, mantendo em local visível o comprovante de inspeção da Vigilância Sanitária, dentro do prazo de validade;</w:t>
      </w:r>
    </w:p>
    <w:p w14:paraId="56B08488" w14:textId="77777777" w:rsidR="00AE45E4" w:rsidRDefault="00AE45E4" w:rsidP="00213729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Propiciar a CONCESSORA acesso aos locais onde serão realizados os serviços, Para a necessária fiscalização;</w:t>
      </w:r>
    </w:p>
    <w:p w14:paraId="2B811F7E" w14:textId="77777777" w:rsidR="00AE45E4" w:rsidRDefault="00AE45E4" w:rsidP="002C6AE4">
      <w:pPr>
        <w:numPr>
          <w:ilvl w:val="2"/>
          <w:numId w:val="1"/>
        </w:numPr>
        <w:spacing w:before="120" w:after="120" w:line="276" w:lineRule="auto"/>
        <w:jc w:val="both"/>
        <w:rPr>
          <w:lang w:val="af-ZA"/>
        </w:rPr>
      </w:pPr>
      <w:r w:rsidRPr="00AE45E4">
        <w:rPr>
          <w:lang w:val="af-ZA"/>
        </w:rPr>
        <w:t>Respeitar as normas e procedimentos da CONCESSORA, quanto à segurança interna (entrada e saída de pessoas e materiais), além de respeito às normas de segurança do trabalhados;</w:t>
      </w:r>
    </w:p>
    <w:p w14:paraId="60D981C1" w14:textId="77777777" w:rsidR="00AE45E4" w:rsidRPr="00AE45E4" w:rsidRDefault="00AE45E4" w:rsidP="007F4895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  <w:lang w:val="af-ZA"/>
        </w:rPr>
      </w:pPr>
      <w:r w:rsidRPr="00AE45E4">
        <w:rPr>
          <w:lang w:val="af-ZA"/>
        </w:rPr>
        <w:t>Dispor do Quadro de pessoal efetivo com experiência nas atividades de produção e distribuição de refeições ( cozinheiro, auxiliar de cozinha, copeiro, serviços gerais, entre outros), para manter a eficácia e a eficiência dos serviços, de acordo com o número de refeições produzidas;</w:t>
      </w:r>
    </w:p>
    <w:p w14:paraId="2B12184D" w14:textId="36635D83" w:rsidR="00AE45E4" w:rsidRPr="00AE45E4" w:rsidRDefault="00AE45E4" w:rsidP="007F4895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  <w:lang w:val="af-ZA"/>
        </w:rPr>
      </w:pPr>
      <w:r w:rsidRPr="00AE45E4">
        <w:rPr>
          <w:rFonts w:cs="Arial"/>
          <w:szCs w:val="20"/>
          <w:lang w:val="af-ZA"/>
        </w:rPr>
        <w:t>Será obrigado no quadro de pessoal permanente da empresa</w:t>
      </w:r>
      <w:r w:rsidRPr="00AE45E4">
        <w:rPr>
          <w:rFonts w:cs="Arial"/>
          <w:b/>
          <w:szCs w:val="20"/>
          <w:lang w:val="af-ZA"/>
        </w:rPr>
        <w:t xml:space="preserve">, </w:t>
      </w:r>
      <w:r w:rsidRPr="00AE45E4">
        <w:rPr>
          <w:rFonts w:cs="Arial"/>
          <w:b/>
          <w:szCs w:val="20"/>
          <w:u w:val="single"/>
          <w:lang w:val="af-ZA"/>
        </w:rPr>
        <w:t>01 (um) profissional Nutricionista</w:t>
      </w:r>
      <w:r w:rsidRPr="00AE45E4">
        <w:rPr>
          <w:rFonts w:cs="Arial"/>
          <w:szCs w:val="20"/>
          <w:u w:val="single"/>
          <w:lang w:val="af-ZA"/>
        </w:rPr>
        <w:t>,</w:t>
      </w:r>
      <w:r w:rsidRPr="00AE45E4">
        <w:rPr>
          <w:rFonts w:cs="Arial"/>
          <w:szCs w:val="20"/>
          <w:lang w:val="af-ZA"/>
        </w:rPr>
        <w:t xml:space="preserve"> com inscrição no Conselho Regional de Nutricionistas, considerando ser este profissional habilitado legalmente, para Coordenar e supervisionar Serviços de Alimentação para coletividades sadias e enfermas</w:t>
      </w:r>
      <w:r>
        <w:rPr>
          <w:rFonts w:cs="Arial"/>
          <w:szCs w:val="20"/>
          <w:lang w:val="af-ZA"/>
        </w:rPr>
        <w:t>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3152C785" w14:textId="0CADB0C5" w:rsidR="00D543FF" w:rsidRPr="00D543F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>As infrações detectadas farão parte do relatório da fiscaliz</w:t>
      </w:r>
      <w:r>
        <w:rPr>
          <w:rFonts w:cs="Times New Roman"/>
          <w:szCs w:val="20"/>
        </w:rPr>
        <w:t xml:space="preserve">ação, as quais após encaminhara </w:t>
      </w:r>
      <w:r w:rsidRPr="00D543FF">
        <w:rPr>
          <w:rFonts w:cs="Times New Roman"/>
          <w:szCs w:val="20"/>
        </w:rPr>
        <w:t>à unidade competente para Apuração e Comete infração administrativa nos termos da Lei nº 8.666, de 1993 e da Lei nº 10.520, de 2002, a Contratada que:</w:t>
      </w:r>
    </w:p>
    <w:p w14:paraId="4FBD024C" w14:textId="31028CEC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não executar total ou parcialmente qualquer das obrigações assumidas em decorrência da contratação;</w:t>
      </w:r>
    </w:p>
    <w:p w14:paraId="210DF44E" w14:textId="0DB147E8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ensejar o retardamento da execução do objeto;</w:t>
      </w:r>
    </w:p>
    <w:p w14:paraId="2F620DE2" w14:textId="57471ACE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fraudar na execução do contrato;</w:t>
      </w:r>
    </w:p>
    <w:p w14:paraId="5FBB5DC2" w14:textId="4676DAD2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comportar-se de modo inidôneo;</w:t>
      </w:r>
    </w:p>
    <w:p w14:paraId="3208C055" w14:textId="4CF66751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cometer fraude fiscal;</w:t>
      </w:r>
    </w:p>
    <w:p w14:paraId="14C74317" w14:textId="5BD99A1A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não mantiver a proposta;</w:t>
      </w:r>
    </w:p>
    <w:p w14:paraId="3B658466" w14:textId="0B18395E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mudança na estrutura física da edificação sem anuência da Prefeitura da UFPA;</w:t>
      </w:r>
    </w:p>
    <w:p w14:paraId="40951BFD" w14:textId="0360F4D9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 xml:space="preserve">inadimplência do Contrato.  </w:t>
      </w:r>
    </w:p>
    <w:p w14:paraId="335F9812" w14:textId="2183EBF9" w:rsidR="00D543FF" w:rsidRPr="00D543F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lastRenderedPageBreak/>
        <w:tab/>
        <w:t>A Contratada que cometer qualquer das infrações discriminadas nos subitens acima ficará sujeita, sem prejuízo da responsabilidade civil e criminal, às seguintes sanções:</w:t>
      </w:r>
    </w:p>
    <w:p w14:paraId="7559B83D" w14:textId="4777B70A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Advertência por faltas leves, assim entendidas aquelas que não acarretem prejuízos significativos para a Contratante;</w:t>
      </w:r>
    </w:p>
    <w:p w14:paraId="0DFDE3DD" w14:textId="1086793E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>.</w:t>
      </w:r>
      <w:r w:rsidRPr="00D543FF">
        <w:rPr>
          <w:rFonts w:cs="Times New Roman"/>
          <w:szCs w:val="20"/>
        </w:rPr>
        <w:tab/>
        <w:t>Multa compensatória no valor de 5% (cinco por cento) sobre o valor contratado, no caso de inexecução total do contrato;</w:t>
      </w:r>
    </w:p>
    <w:p w14:paraId="601B57BF" w14:textId="68172829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Em caso de não execução parcial, a multa compensatória, no mesmo percentual do subitem acima, será aplicada de forma proporcional à obrigação inadimplida;</w:t>
      </w:r>
    </w:p>
    <w:p w14:paraId="140218A6" w14:textId="7CAC4DDB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Suspensão de licitar e impedimento de contratar com o órgão, entidade ou unidade administrativa pela qual a Administração Pública opera e atua concretamente, pelo prazo de até dois anos;</w:t>
      </w:r>
    </w:p>
    <w:p w14:paraId="2F785F1D" w14:textId="5950B2BE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Impedimento de licitar e contratar com a União com o consequente descredenciamento no SICAF pelo prazo de até cinco anos;</w:t>
      </w:r>
    </w:p>
    <w:p w14:paraId="37E5A7F6" w14:textId="58D89D71" w:rsidR="00D543FF" w:rsidRPr="00D543FF" w:rsidRDefault="00D543FF" w:rsidP="003C56C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14:paraId="68607968" w14:textId="66D05F13" w:rsidR="00D543FF" w:rsidRPr="00D543F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Também ficam sujeitas às sanções do art. 87, III e IV da Lei nº 8.666, de 1993, a Contratada que:</w:t>
      </w:r>
    </w:p>
    <w:p w14:paraId="581E7DCC" w14:textId="15859955" w:rsidR="00D543FF" w:rsidRPr="00D543F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A aplicação de qualquer das sanções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24CCCDFB" w14:textId="1806606B" w:rsidR="00D543FF" w:rsidRPr="00D543F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A autoridade competente, na aplicação das sanções, levará em consideração a gravidade da conduta do infrator, o caráter educativo da pena, bem como o dano causado à Contratante, observado o princípio da proporcionalidade.</w:t>
      </w:r>
    </w:p>
    <w:p w14:paraId="1D19C0C6" w14:textId="7F6DE485" w:rsidR="0070059F" w:rsidRDefault="00D543FF" w:rsidP="003C56C0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D543FF">
        <w:rPr>
          <w:rFonts w:cs="Times New Roman"/>
          <w:szCs w:val="20"/>
        </w:rPr>
        <w:tab/>
        <w:t>As sanções aplicadas serão obrigatoriamente registradas no SICAF</w:t>
      </w:r>
      <w:r w:rsidR="0070059F" w:rsidRPr="00391D87">
        <w:rPr>
          <w:rFonts w:cs="Times New Roman"/>
          <w:szCs w:val="20"/>
        </w:rPr>
        <w:t>.</w:t>
      </w:r>
    </w:p>
    <w:p w14:paraId="049B5F2E" w14:textId="77777777" w:rsidR="00BC7B67" w:rsidRPr="009E4250" w:rsidRDefault="00BC7B67" w:rsidP="00BC7B67">
      <w:pPr>
        <w:spacing w:before="120" w:after="120" w:line="276" w:lineRule="auto"/>
        <w:ind w:left="567"/>
        <w:jc w:val="both"/>
        <w:rPr>
          <w:rFonts w:cs="Times New Roman"/>
          <w:szCs w:val="20"/>
        </w:rPr>
      </w:pPr>
    </w:p>
    <w:p w14:paraId="63A31E10" w14:textId="77777777" w:rsidR="00BC7B67" w:rsidRPr="009E4250" w:rsidRDefault="00BC7B67" w:rsidP="00BC7B67">
      <w:pPr>
        <w:pStyle w:val="Nivel1"/>
        <w:spacing w:before="0"/>
        <w:rPr>
          <w:rFonts w:cs="Arial"/>
          <w:lang w:val="af-ZA"/>
        </w:rPr>
      </w:pPr>
      <w:r w:rsidRPr="009E4250">
        <w:rPr>
          <w:rFonts w:cs="Arial"/>
          <w:lang w:val="af-ZA"/>
        </w:rPr>
        <w:t>DA SUBCONTRATAÇÃO</w:t>
      </w:r>
    </w:p>
    <w:p w14:paraId="62334CB1" w14:textId="03C53A1C" w:rsidR="00BC7B67" w:rsidRPr="009E4250" w:rsidRDefault="00BC7B67" w:rsidP="00BC7B67">
      <w:pPr>
        <w:pStyle w:val="Nivel1"/>
        <w:numPr>
          <w:ilvl w:val="1"/>
          <w:numId w:val="1"/>
        </w:numPr>
        <w:spacing w:before="0"/>
        <w:rPr>
          <w:rFonts w:cs="Arial"/>
          <w:b w:val="0"/>
          <w:lang w:val="af-ZA"/>
        </w:rPr>
      </w:pPr>
      <w:r w:rsidRPr="009E4250">
        <w:rPr>
          <w:b w:val="0"/>
          <w:lang w:val="af-ZA"/>
        </w:rPr>
        <w:t>Não será admitida a subcontratação do objeto em licitação.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3C56C0">
      <w:pPr>
        <w:numPr>
          <w:ilvl w:val="2"/>
          <w:numId w:val="1"/>
        </w:numPr>
        <w:spacing w:before="120" w:after="120" w:line="276" w:lineRule="auto"/>
        <w:jc w:val="both"/>
      </w:pPr>
      <w:r w:rsidRPr="00583D6B">
        <w:rPr>
          <w:rFonts w:cs="Arial"/>
          <w:szCs w:val="20"/>
        </w:rPr>
        <w:t>por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F64DF0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szCs w:val="20"/>
        </w:rPr>
      </w:pPr>
      <w:r w:rsidRPr="00583D6B">
        <w:rPr>
          <w:rFonts w:cs="Arial"/>
          <w:szCs w:val="20"/>
        </w:rPr>
        <w:t xml:space="preserve">amigavelmente, nos termos do art. 79, inciso II, da Lei nº 8.666, de 1993. </w:t>
      </w:r>
    </w:p>
    <w:p w14:paraId="1D19C0C9" w14:textId="77777777" w:rsidR="0070059F" w:rsidRPr="00391D87" w:rsidRDefault="0070059F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F64DF0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3C56C0">
      <w:pPr>
        <w:numPr>
          <w:ilvl w:val="2"/>
          <w:numId w:val="1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>Relação dos pagamentos já efetuados e ainda devidos;</w:t>
      </w:r>
    </w:p>
    <w:p w14:paraId="1D19C0CE" w14:textId="77777777" w:rsidR="00285215" w:rsidRPr="00391D87" w:rsidRDefault="00285215" w:rsidP="003C56C0">
      <w:pPr>
        <w:numPr>
          <w:ilvl w:val="2"/>
          <w:numId w:val="1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E9E2D0C" w14:textId="5BD6B76B" w:rsidR="005B353D" w:rsidRDefault="005B353D" w:rsidP="005B353D">
      <w:pPr>
        <w:pStyle w:val="Nivel1"/>
        <w:rPr>
          <w:szCs w:val="32"/>
        </w:rPr>
      </w:pPr>
      <w:r>
        <w:t xml:space="preserve">CLÁUSULA DÉCIMA SEGUNDA – VEDAÇÕES </w:t>
      </w:r>
    </w:p>
    <w:p w14:paraId="4988D900" w14:textId="387D6D25" w:rsidR="00F64DF0" w:rsidRDefault="005B353D" w:rsidP="00F64DF0">
      <w:pPr>
        <w:pStyle w:val="Nivel01Titulo"/>
        <w:numPr>
          <w:ilvl w:val="1"/>
          <w:numId w:val="1"/>
        </w:numPr>
        <w:rPr>
          <w:b w:val="0"/>
          <w:bCs w:val="0"/>
        </w:rPr>
      </w:pPr>
      <w:r>
        <w:rPr>
          <w:b w:val="0"/>
          <w:bCs w:val="0"/>
        </w:rPr>
        <w:t>É vedado à CONTRATADA interromper a execução dos serviços sob, salvo nos casos previstos em lei.</w:t>
      </w:r>
    </w:p>
    <w:p w14:paraId="4804A0AB" w14:textId="77777777" w:rsidR="00F64DF0" w:rsidRPr="00F64DF0" w:rsidRDefault="00F64DF0" w:rsidP="00F64DF0"/>
    <w:p w14:paraId="0860C988" w14:textId="0CB749F5" w:rsidR="00F64DF0" w:rsidRPr="00F64DF0" w:rsidRDefault="00F64DF0" w:rsidP="00F64DF0">
      <w:pPr>
        <w:pStyle w:val="Nivel1"/>
        <w:numPr>
          <w:ilvl w:val="1"/>
          <w:numId w:val="1"/>
        </w:numPr>
        <w:spacing w:before="0"/>
        <w:rPr>
          <w:b w:val="0"/>
        </w:rPr>
      </w:pPr>
      <w:r w:rsidRPr="00F64DF0">
        <w:rPr>
          <w:b w:val="0"/>
        </w:rPr>
        <w:t>Fornecer:</w:t>
      </w:r>
    </w:p>
    <w:p w14:paraId="4FAE6B1D" w14:textId="77777777" w:rsidR="00F64DF0" w:rsidRPr="00F64DF0" w:rsidRDefault="00F64DF0" w:rsidP="00F64DF0">
      <w:pPr>
        <w:pStyle w:val="Nivel1"/>
        <w:numPr>
          <w:ilvl w:val="2"/>
          <w:numId w:val="1"/>
        </w:numPr>
        <w:spacing w:before="0"/>
        <w:ind w:left="993"/>
        <w:rPr>
          <w:b w:val="0"/>
          <w:lang w:val="af-ZA"/>
        </w:rPr>
      </w:pPr>
      <w:r w:rsidRPr="00F64DF0">
        <w:rPr>
          <w:b w:val="0"/>
          <w:lang w:val="af-ZA"/>
        </w:rPr>
        <w:t>Todo e qualquer tipo de bebida alcoólica;</w:t>
      </w:r>
    </w:p>
    <w:p w14:paraId="7150217B" w14:textId="3106A414" w:rsidR="00F64DF0" w:rsidRPr="00F64DF0" w:rsidRDefault="00F64DF0" w:rsidP="00F64DF0">
      <w:pPr>
        <w:pStyle w:val="Nivel1"/>
        <w:numPr>
          <w:ilvl w:val="2"/>
          <w:numId w:val="1"/>
        </w:numPr>
        <w:spacing w:before="0"/>
        <w:ind w:left="993"/>
        <w:rPr>
          <w:b w:val="0"/>
          <w:lang w:val="af-ZA"/>
        </w:rPr>
      </w:pPr>
      <w:r w:rsidRPr="00F64DF0">
        <w:rPr>
          <w:b w:val="0"/>
          <w:lang w:val="af-ZA"/>
        </w:rPr>
        <w:t>Todo e qualquer tipo de tabaco;</w:t>
      </w:r>
    </w:p>
    <w:p w14:paraId="3AA46473" w14:textId="3CEEAE4D" w:rsidR="00F64DF0" w:rsidRPr="00F64DF0" w:rsidRDefault="00F64DF0" w:rsidP="00F64DF0">
      <w:pPr>
        <w:pStyle w:val="Nivel1"/>
        <w:numPr>
          <w:ilvl w:val="2"/>
          <w:numId w:val="1"/>
        </w:numPr>
        <w:spacing w:before="0"/>
        <w:ind w:left="993"/>
        <w:rPr>
          <w:b w:val="0"/>
        </w:rPr>
      </w:pPr>
      <w:r w:rsidRPr="00F64DF0">
        <w:rPr>
          <w:b w:val="0"/>
          <w:lang w:val="af-ZA"/>
        </w:rPr>
        <w:t>Todo e qualquer tipo de medicamento ou produto químico-farmacêutico</w:t>
      </w:r>
      <w:r>
        <w:rPr>
          <w:b w:val="0"/>
          <w:lang w:val="af-ZA"/>
        </w:rPr>
        <w:t>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7" w14:textId="77777777" w:rsidR="008B0761" w:rsidRPr="007B70CF" w:rsidRDefault="008B0761" w:rsidP="0048130E">
      <w:pPr>
        <w:pStyle w:val="Nivel1"/>
      </w:pPr>
      <w:r w:rsidRPr="007B70CF">
        <w:t>CLÁUSULA DÉCIMA QUARTA – DOS CASOS OMISSOS</w:t>
      </w:r>
    </w:p>
    <w:p w14:paraId="074DBC63" w14:textId="732699E2" w:rsidR="00583D6B" w:rsidRPr="00583D6B" w:rsidRDefault="008B0761" w:rsidP="003C56C0">
      <w:pPr>
        <w:pStyle w:val="Nivel1"/>
        <w:numPr>
          <w:ilvl w:val="1"/>
          <w:numId w:val="1"/>
        </w:numPr>
        <w:rPr>
          <w:b w:val="0"/>
        </w:rPr>
      </w:pPr>
      <w:r w:rsidRPr="00583D6B">
        <w:rPr>
          <w:b w:val="0"/>
        </w:rPr>
        <w:t xml:space="preserve">Os casos omissos serão decididos pela CONTRATANTE, segundo as disposições contidas na Lei nº 8.666, de 1993, </w:t>
      </w:r>
      <w:r w:rsidR="008E1460" w:rsidRPr="008E1460">
        <w:rPr>
          <w:b w:val="0"/>
        </w:rPr>
        <w:t>lei no 8.245, de 18 de outubro de 1991</w:t>
      </w:r>
      <w:r w:rsidR="008E1460">
        <w:rPr>
          <w:b w:val="0"/>
        </w:rPr>
        <w:t xml:space="preserve">, </w:t>
      </w:r>
      <w:r w:rsidRPr="00583D6B">
        <w:rPr>
          <w:b w:val="0"/>
        </w:rPr>
        <w:t>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3C56C0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66C63101" w14:textId="77777777" w:rsidR="001B065D" w:rsidRDefault="001B065D" w:rsidP="001B065D">
      <w:pPr>
        <w:spacing w:before="120" w:after="120" w:line="276" w:lineRule="auto"/>
        <w:ind w:left="425"/>
        <w:jc w:val="both"/>
        <w:rPr>
          <w:rFonts w:cs="Times New Roman"/>
          <w:szCs w:val="20"/>
        </w:rPr>
      </w:pPr>
    </w:p>
    <w:p w14:paraId="5668E02F" w14:textId="5D9BB718" w:rsidR="001B065D" w:rsidRDefault="001B065D" w:rsidP="001B065D">
      <w:pPr>
        <w:pStyle w:val="Nivel1"/>
        <w:ind w:left="-426"/>
        <w:rPr>
          <w:lang w:val="af-ZA"/>
        </w:rPr>
      </w:pPr>
      <w:r w:rsidRPr="00391D87">
        <w:lastRenderedPageBreak/>
        <w:t xml:space="preserve">CLÁUSULA DÉCIMA </w:t>
      </w:r>
      <w:r>
        <w:t xml:space="preserve">SEXTA - </w:t>
      </w:r>
      <w:r w:rsidRPr="001D4ED3">
        <w:rPr>
          <w:lang w:val="af-ZA"/>
        </w:rPr>
        <w:tab/>
      </w:r>
      <w:r w:rsidRPr="00A60502">
        <w:rPr>
          <w:lang w:val="af-ZA"/>
        </w:rPr>
        <w:t xml:space="preserve">DO INÍCIO </w:t>
      </w:r>
      <w:r w:rsidR="005E6DC4">
        <w:rPr>
          <w:lang w:val="af-ZA"/>
        </w:rPr>
        <w:t xml:space="preserve">E TÉRMINO </w:t>
      </w:r>
      <w:r w:rsidRPr="00A60502">
        <w:rPr>
          <w:lang w:val="af-ZA"/>
        </w:rPr>
        <w:t xml:space="preserve">DA </w:t>
      </w:r>
      <w:r w:rsidR="003C4CEE" w:rsidRPr="00A60502">
        <w:rPr>
          <w:lang w:val="af-ZA"/>
        </w:rPr>
        <w:t>UTILIZAÇÃO</w:t>
      </w:r>
    </w:p>
    <w:p w14:paraId="3E0628CD" w14:textId="77777777" w:rsidR="005E6DC4" w:rsidRDefault="005E6DC4" w:rsidP="003C56C0">
      <w:pPr>
        <w:pStyle w:val="Nivel1"/>
        <w:numPr>
          <w:ilvl w:val="1"/>
          <w:numId w:val="1"/>
        </w:numPr>
        <w:ind w:left="-142"/>
        <w:rPr>
          <w:b w:val="0"/>
          <w:lang w:val="af-ZA"/>
        </w:rPr>
      </w:pPr>
      <w:r w:rsidRPr="005E6DC4">
        <w:rPr>
          <w:b w:val="0"/>
          <w:lang w:val="af-ZA"/>
        </w:rPr>
        <w:t>U</w:t>
      </w:r>
      <w:r w:rsidR="001B065D" w:rsidRPr="005E6DC4">
        <w:rPr>
          <w:b w:val="0"/>
          <w:lang w:val="af-ZA"/>
        </w:rPr>
        <w:t>tilização do espaço será iniciada no máximo em 30 (trinta) dias corridos a contar da data de assinatura da outorga</w:t>
      </w:r>
      <w:r w:rsidRPr="005E6DC4">
        <w:rPr>
          <w:b w:val="0"/>
          <w:lang w:val="af-ZA"/>
        </w:rPr>
        <w:t>.</w:t>
      </w:r>
    </w:p>
    <w:p w14:paraId="049CD71F" w14:textId="0FF562CF" w:rsidR="005E6DC4" w:rsidRPr="00BC2076" w:rsidRDefault="005E6DC4" w:rsidP="003C56C0">
      <w:pPr>
        <w:pStyle w:val="Nivel1"/>
        <w:numPr>
          <w:ilvl w:val="1"/>
          <w:numId w:val="1"/>
        </w:numPr>
        <w:ind w:left="-142"/>
        <w:rPr>
          <w:lang w:val="af-ZA"/>
        </w:rPr>
      </w:pPr>
      <w:r w:rsidRPr="003F549B">
        <w:rPr>
          <w:b w:val="0"/>
          <w:lang w:val="af-ZA"/>
        </w:rPr>
        <w:t>Findo o prazo contratual da concessão de uso, a CONCEDENTE deverá emitir termo circunstanciado de recebimento do imóvel, que deverá estar limpo e em perfeitas condições de uso</w:t>
      </w:r>
      <w:r>
        <w:rPr>
          <w:b w:val="0"/>
          <w:lang w:val="af-ZA"/>
        </w:rPr>
        <w:t>.</w:t>
      </w:r>
    </w:p>
    <w:p w14:paraId="613E1BF8" w14:textId="69848C84" w:rsidR="005E6DC4" w:rsidRPr="005E6DC4" w:rsidRDefault="005E6DC4" w:rsidP="005E6DC4">
      <w:pPr>
        <w:pStyle w:val="Nivel1"/>
        <w:ind w:left="-426"/>
        <w:rPr>
          <w:lang w:val="af-ZA"/>
        </w:rPr>
      </w:pPr>
      <w:r w:rsidRPr="00391D87">
        <w:t xml:space="preserve">CLÁUSULA DÉCIMA </w:t>
      </w:r>
      <w:r>
        <w:t xml:space="preserve">SÉTIMA - </w:t>
      </w:r>
      <w:r>
        <w:rPr>
          <w:lang w:val="af-ZA"/>
        </w:rPr>
        <w:t>DO RECEBIMENTO DO OBJETO</w:t>
      </w:r>
      <w:r w:rsidRPr="005E6DC4">
        <w:rPr>
          <w:color w:val="FF0000"/>
        </w:rPr>
        <w:t xml:space="preserve"> </w:t>
      </w:r>
    </w:p>
    <w:p w14:paraId="46E9C11A" w14:textId="0C66278C" w:rsidR="00544D2F" w:rsidRPr="005E6DC4" w:rsidRDefault="00484BCC" w:rsidP="00484BCC">
      <w:pPr>
        <w:pStyle w:val="Nivel1"/>
        <w:numPr>
          <w:ilvl w:val="1"/>
          <w:numId w:val="1"/>
        </w:numPr>
        <w:rPr>
          <w:b w:val="0"/>
          <w:lang w:val="af-ZA"/>
        </w:rPr>
      </w:pPr>
      <w:r>
        <w:rPr>
          <w:b w:val="0"/>
        </w:rPr>
        <w:t>Quanto à</w:t>
      </w:r>
      <w:r w:rsidR="00544D2F" w:rsidRPr="005E6DC4">
        <w:rPr>
          <w:b w:val="0"/>
        </w:rPr>
        <w:t xml:space="preserve"> </w:t>
      </w:r>
      <w:r w:rsidRPr="00484BCC">
        <w:rPr>
          <w:b w:val="0"/>
        </w:rPr>
        <w:t>concessão de uso de espaço físico destinado à instalação de lanchonete</w:t>
      </w:r>
      <w:r>
        <w:rPr>
          <w:b w:val="0"/>
        </w:rPr>
        <w:t>, nã</w:t>
      </w:r>
      <w:r w:rsidR="005E6DC4" w:rsidRPr="005E6DC4">
        <w:rPr>
          <w:b w:val="0"/>
        </w:rPr>
        <w:t>o</w:t>
      </w:r>
      <w:r w:rsidR="00544D2F" w:rsidRPr="005E6DC4">
        <w:rPr>
          <w:b w:val="0"/>
        </w:rPr>
        <w:t xml:space="preserve"> se aplica por se tratar de Concessão temporária do direito de uso de espaço físico para exploração econômica</w:t>
      </w:r>
    </w:p>
    <w:p w14:paraId="0ACFABAC" w14:textId="3DA2303E" w:rsidR="003C56C0" w:rsidRPr="003C56C0" w:rsidRDefault="003C56C0" w:rsidP="003C56C0">
      <w:pPr>
        <w:pStyle w:val="Nivel1"/>
        <w:ind w:left="-426"/>
      </w:pPr>
      <w:r w:rsidRPr="003C56C0">
        <w:t>LÁUSULA DÉCIMA OITAVA – REGIME JURÍDICO DO PRESENTE CONTRATO ADMINISTRATIVO</w:t>
      </w:r>
    </w:p>
    <w:p w14:paraId="313F1553" w14:textId="77777777" w:rsidR="003C56C0" w:rsidRPr="003C56C0" w:rsidRDefault="003C56C0" w:rsidP="003C56C0">
      <w:pPr>
        <w:pStyle w:val="Nivel1"/>
        <w:numPr>
          <w:ilvl w:val="1"/>
          <w:numId w:val="1"/>
        </w:numPr>
        <w:ind w:left="-142"/>
        <w:rPr>
          <w:b w:val="0"/>
        </w:rPr>
      </w:pPr>
      <w:r w:rsidRPr="003C56C0">
        <w:rPr>
          <w:b w:val="0"/>
        </w:rPr>
        <w:t>O regime jurídico dos contratos administrativos instituído por esta Lei confere à Administração, em relação a eles, a prerrogativa de:</w:t>
      </w:r>
    </w:p>
    <w:p w14:paraId="32931960" w14:textId="77777777" w:rsid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bookmarkStart w:id="0" w:name="art58i"/>
      <w:bookmarkEnd w:id="0"/>
      <w:r w:rsidRPr="003C56C0">
        <w:rPr>
          <w:b w:val="0"/>
        </w:rPr>
        <w:t>modificá-los, unilateralmente, para melhor adequação às finalidades de interesse público, respeitados os direitos do contratado;</w:t>
      </w:r>
      <w:bookmarkStart w:id="1" w:name="art58ii"/>
      <w:bookmarkEnd w:id="1"/>
    </w:p>
    <w:p w14:paraId="18F6A9D7" w14:textId="42E6259D" w:rsidR="003C56C0" w:rsidRP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r w:rsidRPr="003C56C0">
        <w:rPr>
          <w:b w:val="0"/>
        </w:rPr>
        <w:t>rescindi-los, unilateralmente, nos casos especificados no inciso I do art. 79 desta Lei;</w:t>
      </w:r>
    </w:p>
    <w:p w14:paraId="49DE6257" w14:textId="1F436664" w:rsidR="003C56C0" w:rsidRP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bookmarkStart w:id="2" w:name="art58iii"/>
      <w:bookmarkEnd w:id="2"/>
      <w:proofErr w:type="spellStart"/>
      <w:r>
        <w:rPr>
          <w:b w:val="0"/>
        </w:rPr>
        <w:t>f</w:t>
      </w:r>
      <w:r w:rsidRPr="003C56C0">
        <w:rPr>
          <w:b w:val="0"/>
        </w:rPr>
        <w:t>iscalizar-lhes</w:t>
      </w:r>
      <w:proofErr w:type="spellEnd"/>
      <w:r w:rsidRPr="003C56C0">
        <w:rPr>
          <w:b w:val="0"/>
        </w:rPr>
        <w:t xml:space="preserve"> a execução;</w:t>
      </w:r>
    </w:p>
    <w:p w14:paraId="2FF72C81" w14:textId="77777777" w:rsid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bookmarkStart w:id="3" w:name="art58iv"/>
      <w:bookmarkEnd w:id="3"/>
      <w:r w:rsidRPr="003C56C0">
        <w:rPr>
          <w:b w:val="0"/>
        </w:rPr>
        <w:t>aplicar sanções motivadas pela inexecução total ou parcial do ajuste;</w:t>
      </w:r>
    </w:p>
    <w:p w14:paraId="03EA29C6" w14:textId="77777777" w:rsidR="003C56C0" w:rsidRPr="003C56C0" w:rsidRDefault="003C56C0" w:rsidP="003C56C0">
      <w:pPr>
        <w:pStyle w:val="Nivel1"/>
        <w:numPr>
          <w:ilvl w:val="0"/>
          <w:numId w:val="3"/>
        </w:numPr>
        <w:rPr>
          <w:b w:val="0"/>
        </w:rPr>
      </w:pPr>
      <w:r w:rsidRPr="003C56C0">
        <w:rPr>
          <w:b w:val="0"/>
        </w:rPr>
        <w:t>As cláusulas econômico-financeiras e monetárias dos contratos administrativos não poderão ser alteradas sem prévia concordância do contratado.</w:t>
      </w:r>
      <w:bookmarkStart w:id="4" w:name="art58§2"/>
      <w:bookmarkEnd w:id="4"/>
    </w:p>
    <w:p w14:paraId="525F4FB6" w14:textId="77777777" w:rsidR="003C56C0" w:rsidRPr="003C56C0" w:rsidRDefault="003C56C0" w:rsidP="003C56C0">
      <w:pPr>
        <w:pStyle w:val="Nivel1"/>
        <w:numPr>
          <w:ilvl w:val="0"/>
          <w:numId w:val="3"/>
        </w:numPr>
        <w:rPr>
          <w:b w:val="0"/>
        </w:rPr>
      </w:pPr>
      <w:r w:rsidRPr="003C56C0">
        <w:rPr>
          <w:b w:val="0"/>
        </w:rPr>
        <w:t> Na hipótese do item 17.1.1, as cláusulas econômico-financeiras do contrato deverão ser revistas para que se mantenha o equilíbrio contratual.</w:t>
      </w:r>
      <w:bookmarkStart w:id="5" w:name="art59"/>
      <w:bookmarkEnd w:id="5"/>
    </w:p>
    <w:p w14:paraId="03056BEC" w14:textId="77777777" w:rsid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r w:rsidRPr="003C56C0">
        <w:rPr>
          <w:b w:val="0"/>
        </w:rPr>
        <w:t>A declaração de nulidade do contrato administrativo opera retroativamente impedindo os efeitos jurídicos que ele, ordinariamente, deveria produzir, além de desconstituir os já produzidos.</w:t>
      </w:r>
      <w:bookmarkStart w:id="6" w:name="art59p"/>
      <w:bookmarkEnd w:id="6"/>
    </w:p>
    <w:p w14:paraId="28AE69B2" w14:textId="77D13EFD" w:rsidR="003C56C0" w:rsidRPr="003C56C0" w:rsidRDefault="003C56C0" w:rsidP="003C56C0">
      <w:pPr>
        <w:pStyle w:val="Nivel1"/>
        <w:numPr>
          <w:ilvl w:val="2"/>
          <w:numId w:val="1"/>
        </w:numPr>
        <w:rPr>
          <w:b w:val="0"/>
        </w:rPr>
      </w:pPr>
      <w:r w:rsidRPr="003C56C0">
        <w:rPr>
          <w:b w:val="0"/>
        </w:rPr>
        <w:t>A nulidade não exonera a Administração do dever de indenizar o contratado pelo que este houver executado até a data em que ela for declarada e por outros prejuízos regularmente comprovados, contanto que não lhe seja imputável, promovendo-se a responsabilidade de quem lhe deu causa.</w:t>
      </w:r>
    </w:p>
    <w:p w14:paraId="122F97C6" w14:textId="77777777" w:rsidR="003C56C0" w:rsidRPr="003C56C0" w:rsidRDefault="003C56C0" w:rsidP="003C56C0"/>
    <w:p w14:paraId="4751BCD9" w14:textId="77777777" w:rsidR="003C56C0" w:rsidRDefault="003C56C0" w:rsidP="003C56C0">
      <w:pPr>
        <w:pStyle w:val="Nivel1"/>
        <w:numPr>
          <w:ilvl w:val="0"/>
          <w:numId w:val="0"/>
        </w:numPr>
        <w:ind w:left="-567"/>
      </w:pPr>
      <w:bookmarkStart w:id="7" w:name="art58v"/>
      <w:bookmarkEnd w:id="7"/>
    </w:p>
    <w:p w14:paraId="4607EB05" w14:textId="3C0E4976" w:rsidR="00484BCC" w:rsidRPr="00D35AF2" w:rsidRDefault="00D35AF2" w:rsidP="006E1615">
      <w:pPr>
        <w:pStyle w:val="Nivel1"/>
        <w:ind w:left="-567"/>
        <w:rPr>
          <w:rFonts w:cs="Arial"/>
          <w:shd w:val="clear" w:color="auto" w:fill="BFBFBF"/>
          <w:lang w:val="af-ZA"/>
        </w:rPr>
      </w:pPr>
      <w:r w:rsidRPr="00D35AF2">
        <w:rPr>
          <w:rFonts w:cs="Arial"/>
          <w:shd w:val="clear" w:color="auto" w:fill="BFBFBF"/>
          <w:lang w:val="af-ZA"/>
        </w:rPr>
        <w:t>DIAS E HORÁRIOS DE FUNCIONAMENTO</w:t>
      </w:r>
    </w:p>
    <w:p w14:paraId="4A270797" w14:textId="77777777" w:rsidR="00D35AF2" w:rsidRPr="00D35AF2" w:rsidRDefault="00D35AF2" w:rsidP="00D35AF2">
      <w:pPr>
        <w:pStyle w:val="Nivel1"/>
        <w:numPr>
          <w:ilvl w:val="1"/>
          <w:numId w:val="1"/>
        </w:numPr>
        <w:spacing w:before="0"/>
        <w:ind w:left="-284"/>
        <w:rPr>
          <w:b w:val="0"/>
          <w:lang w:val="af-ZA"/>
        </w:rPr>
      </w:pPr>
      <w:r w:rsidRPr="00D35AF2">
        <w:rPr>
          <w:b w:val="0"/>
          <w:lang w:val="af-ZA"/>
        </w:rPr>
        <w:t>De 7h às 22h;</w:t>
      </w:r>
    </w:p>
    <w:p w14:paraId="565B1487" w14:textId="77777777" w:rsidR="00D35AF2" w:rsidRPr="00D35AF2" w:rsidRDefault="00D35AF2" w:rsidP="00D35AF2">
      <w:pPr>
        <w:pStyle w:val="Nivel1"/>
        <w:numPr>
          <w:ilvl w:val="1"/>
          <w:numId w:val="1"/>
        </w:numPr>
        <w:spacing w:before="0"/>
        <w:ind w:left="-284"/>
        <w:rPr>
          <w:b w:val="0"/>
          <w:lang w:val="af-ZA"/>
        </w:rPr>
      </w:pPr>
      <w:r w:rsidRPr="00D35AF2">
        <w:rPr>
          <w:b w:val="0"/>
          <w:lang w:val="af-ZA"/>
        </w:rPr>
        <w:t>8.2.</w:t>
      </w:r>
      <w:r w:rsidRPr="00D35AF2">
        <w:rPr>
          <w:b w:val="0"/>
          <w:lang w:val="af-ZA"/>
        </w:rPr>
        <w:tab/>
        <w:t xml:space="preserve"> Se houver eventos agendados para feriados  finais de semana, o permissionário será obrigado a manter a lanchonete aberta durante todo o período de realização dos mesmos;</w:t>
      </w:r>
    </w:p>
    <w:p w14:paraId="0B2505EB" w14:textId="7F2F75BA" w:rsidR="00D35AF2" w:rsidRPr="00D35AF2" w:rsidRDefault="00D35AF2" w:rsidP="00D35AF2">
      <w:pPr>
        <w:pStyle w:val="Nivel1"/>
        <w:numPr>
          <w:ilvl w:val="1"/>
          <w:numId w:val="1"/>
        </w:numPr>
        <w:spacing w:before="0"/>
        <w:ind w:left="-284"/>
        <w:rPr>
          <w:b w:val="0"/>
          <w:lang w:val="af-ZA"/>
        </w:rPr>
      </w:pPr>
      <w:r w:rsidRPr="00D35AF2">
        <w:rPr>
          <w:b w:val="0"/>
          <w:lang w:val="af-ZA"/>
        </w:rPr>
        <w:t>8.3.</w:t>
      </w:r>
      <w:r w:rsidRPr="00D35AF2">
        <w:rPr>
          <w:b w:val="0"/>
          <w:lang w:val="af-ZA"/>
        </w:rPr>
        <w:tab/>
        <w:t xml:space="preserve"> Será cobrada multa diária de 160,00 (cento e sessenta) UFIR’S quando houver interrupção do funcionamento dos serviços, salvo casos de força maior, comprovados e aceitos pela PRAD/CEBN.</w:t>
      </w:r>
    </w:p>
    <w:p w14:paraId="4BFC463F" w14:textId="77777777" w:rsidR="00484BCC" w:rsidRPr="00484BCC" w:rsidRDefault="00484BCC" w:rsidP="00484BCC">
      <w:pPr>
        <w:rPr>
          <w:lang w:val="af-ZA"/>
        </w:rPr>
      </w:pPr>
    </w:p>
    <w:p w14:paraId="38CFEB65" w14:textId="380C0BB4" w:rsidR="00484BCC" w:rsidRPr="00D35AF2" w:rsidRDefault="00D35AF2" w:rsidP="006E1615">
      <w:pPr>
        <w:pStyle w:val="Nivel1"/>
        <w:ind w:left="-567"/>
        <w:rPr>
          <w:rFonts w:cs="Arial"/>
          <w:shd w:val="clear" w:color="auto" w:fill="BFBFBF"/>
          <w:lang w:val="af-ZA"/>
        </w:rPr>
      </w:pPr>
      <w:r w:rsidRPr="00D35AF2">
        <w:rPr>
          <w:rFonts w:cs="Arial"/>
          <w:shd w:val="clear" w:color="auto" w:fill="BFBFBF"/>
          <w:lang w:val="af-ZA"/>
        </w:rPr>
        <w:t>DOS PREÇOS A SEREM PRATICADOS</w:t>
      </w:r>
    </w:p>
    <w:p w14:paraId="739B5777" w14:textId="1B88CD3A" w:rsidR="00D35AF2" w:rsidRPr="00D35AF2" w:rsidRDefault="00D35AF2" w:rsidP="00D35AF2">
      <w:pPr>
        <w:rPr>
          <w:lang w:val="af-ZA"/>
        </w:rPr>
      </w:pPr>
      <w:r>
        <w:rPr>
          <w:lang w:val="af-ZA"/>
        </w:rPr>
        <w:t>20</w:t>
      </w:r>
      <w:r w:rsidRPr="00D35AF2">
        <w:rPr>
          <w:lang w:val="af-ZA"/>
        </w:rPr>
        <w:t>.1.</w:t>
      </w:r>
      <w:r w:rsidRPr="00D35AF2">
        <w:rPr>
          <w:lang w:val="af-ZA"/>
        </w:rPr>
        <w:tab/>
        <w:t xml:space="preserve"> Pelo fornecimento dos lanches, a concessionária estabelecerá os seus preços dentro dos limites máximos definidos no anexo............... (Indicadores Básicos) deste edital;</w:t>
      </w:r>
    </w:p>
    <w:p w14:paraId="29776F89" w14:textId="33CB2421" w:rsidR="00D35AF2" w:rsidRPr="00D35AF2" w:rsidRDefault="00D35AF2" w:rsidP="00D35AF2">
      <w:pPr>
        <w:rPr>
          <w:lang w:val="af-ZA"/>
        </w:rPr>
      </w:pPr>
      <w:r>
        <w:rPr>
          <w:lang w:val="af-ZA"/>
        </w:rPr>
        <w:t>20</w:t>
      </w:r>
      <w:r w:rsidRPr="00D35AF2">
        <w:rPr>
          <w:lang w:val="af-ZA"/>
        </w:rPr>
        <w:t>.2.</w:t>
      </w:r>
      <w:r w:rsidRPr="00D35AF2">
        <w:rPr>
          <w:lang w:val="af-ZA"/>
        </w:rPr>
        <w:tab/>
        <w:t xml:space="preserve"> As propostas que apresentarem valores superiores aos constantes na Planilha de Indicadores Básicos (Anexo...............) serão desclassificadas;</w:t>
      </w:r>
    </w:p>
    <w:p w14:paraId="4129DB85" w14:textId="14939CCB" w:rsidR="00D35AF2" w:rsidRPr="00D35AF2" w:rsidRDefault="00D35AF2" w:rsidP="00D35AF2">
      <w:pPr>
        <w:rPr>
          <w:lang w:val="af-ZA"/>
        </w:rPr>
      </w:pPr>
      <w:r>
        <w:rPr>
          <w:lang w:val="af-ZA"/>
        </w:rPr>
        <w:t>20.</w:t>
      </w:r>
      <w:r w:rsidRPr="00D35AF2">
        <w:rPr>
          <w:lang w:val="af-ZA"/>
        </w:rPr>
        <w:t>3.</w:t>
      </w:r>
      <w:r w:rsidRPr="00D35AF2">
        <w:rPr>
          <w:lang w:val="af-ZA"/>
        </w:rPr>
        <w:tab/>
        <w:t xml:space="preserve"> Os preços dos produtos oferecidos poderão ser reajustados anualmente, desde que devidamente justificados, levando-se em consideração o Índice Nacional de preços ao Consumidor Amplo – IPCA e/ou legislação correlata, observando, também, o preço praticado no mercado local.</w:t>
      </w:r>
    </w:p>
    <w:p w14:paraId="1B864D99" w14:textId="4C5ACC03" w:rsidR="00484BCC" w:rsidRPr="00D35AF2" w:rsidRDefault="00D35AF2" w:rsidP="00D35AF2">
      <w:pPr>
        <w:pStyle w:val="Nivel1"/>
        <w:shd w:val="clear" w:color="auto" w:fill="BFBFBF" w:themeFill="background1" w:themeFillShade="BF"/>
        <w:ind w:left="-567"/>
        <w:rPr>
          <w:rFonts w:cs="Arial"/>
          <w:lang w:val="af-ZA"/>
        </w:rPr>
      </w:pPr>
      <w:r w:rsidRPr="00D35AF2">
        <w:rPr>
          <w:rFonts w:cs="Arial"/>
          <w:lang w:val="af-ZA"/>
        </w:rPr>
        <w:t>DA ALTERAÇÃO SUBJETIVA</w:t>
      </w:r>
    </w:p>
    <w:p w14:paraId="10CDBDF3" w14:textId="26ADDC01" w:rsidR="00D35AF2" w:rsidRDefault="00D35AF2" w:rsidP="00D35AF2">
      <w:pPr>
        <w:pStyle w:val="Nivel1"/>
        <w:numPr>
          <w:ilvl w:val="1"/>
          <w:numId w:val="1"/>
        </w:numPr>
        <w:ind w:left="0"/>
        <w:rPr>
          <w:lang w:val="af-ZA"/>
        </w:rPr>
      </w:pPr>
      <w:r w:rsidRPr="00D35AF2">
        <w:rPr>
          <w:b w:val="0"/>
          <w:lang w:val="af-ZA"/>
        </w:rPr>
        <w:t>É admissível a fusão, cisão ou incorporação da Concessora com/em outra pessoa jurídica, desde que sejam observados pela nova pessoa jurídica todos os requisitos de habilitação exigidos na licitação original; sejam mantidas as demais cláusulas e condições da Concessão; não haja prejuízo à execução do objeto pactuado e haja a anuência expressa da Administração</w:t>
      </w:r>
      <w:r w:rsidRPr="001D4ED3">
        <w:rPr>
          <w:lang w:val="af-ZA"/>
        </w:rPr>
        <w:t xml:space="preserve"> à continuidade da Concessão.</w:t>
      </w:r>
    </w:p>
    <w:p w14:paraId="48EC952C" w14:textId="77777777" w:rsidR="00D35AF2" w:rsidRPr="00D35AF2" w:rsidRDefault="00D35AF2" w:rsidP="00D35AF2">
      <w:pPr>
        <w:rPr>
          <w:lang w:val="af-ZA"/>
        </w:rPr>
      </w:pPr>
    </w:p>
    <w:p w14:paraId="525170F2" w14:textId="77777777" w:rsidR="00D35AF2" w:rsidRPr="00D35AF2" w:rsidRDefault="00D35AF2" w:rsidP="00D35AF2">
      <w:pPr>
        <w:rPr>
          <w:lang w:val="af-ZA"/>
        </w:rPr>
      </w:pPr>
    </w:p>
    <w:p w14:paraId="3723A52F" w14:textId="17F8F2C2" w:rsidR="00D35AF2" w:rsidRPr="00D35AF2" w:rsidRDefault="00D35AF2" w:rsidP="00D35AF2">
      <w:pPr>
        <w:pStyle w:val="Nivel1"/>
        <w:shd w:val="clear" w:color="auto" w:fill="BFBFBF" w:themeFill="background1" w:themeFillShade="BF"/>
        <w:ind w:left="-567"/>
        <w:rPr>
          <w:rFonts w:cs="Arial"/>
          <w:lang w:val="af-ZA"/>
        </w:rPr>
      </w:pPr>
      <w:r w:rsidRPr="00D35AF2">
        <w:rPr>
          <w:rFonts w:cs="Arial"/>
          <w:lang w:val="af-ZA"/>
        </w:rPr>
        <w:t>DAS BENFEITORIAS</w:t>
      </w:r>
    </w:p>
    <w:p w14:paraId="6FB7D9C8" w14:textId="1C970BC0" w:rsidR="00D35AF2" w:rsidRPr="00D35AF2" w:rsidRDefault="00D35AF2" w:rsidP="00D35AF2">
      <w:pPr>
        <w:pStyle w:val="Nivel1"/>
        <w:numPr>
          <w:ilvl w:val="1"/>
          <w:numId w:val="1"/>
        </w:numPr>
        <w:rPr>
          <w:b w:val="0"/>
          <w:lang w:val="af-ZA"/>
        </w:rPr>
      </w:pPr>
      <w:r w:rsidRPr="00D35AF2">
        <w:rPr>
          <w:b w:val="0"/>
          <w:lang w:val="af-ZA"/>
        </w:rPr>
        <w:t>Para o funcionamento adequado do espaço as benfeitorias e adaptações necessárias poderão ser realizadas pela Concessionária, desde que aprovadas e autorizadas previamente pela Concessora;</w:t>
      </w:r>
    </w:p>
    <w:p w14:paraId="7B2ABE58" w14:textId="1A816B8E" w:rsidR="00D35AF2" w:rsidRPr="00D35AF2" w:rsidRDefault="00D35AF2" w:rsidP="00D35AF2">
      <w:pPr>
        <w:pStyle w:val="Nivel1"/>
        <w:numPr>
          <w:ilvl w:val="1"/>
          <w:numId w:val="1"/>
        </w:numPr>
        <w:rPr>
          <w:b w:val="0"/>
          <w:lang w:val="af-ZA"/>
        </w:rPr>
      </w:pPr>
      <w:r w:rsidRPr="00D35AF2">
        <w:rPr>
          <w:b w:val="0"/>
          <w:lang w:val="af-ZA"/>
        </w:rPr>
        <w:t>As adaptações e benfeitorias a serem efetuadas deverão ser submetidas formalmente à Concessora acompanhadas dos seguintes documentos:</w:t>
      </w:r>
    </w:p>
    <w:p w14:paraId="31D53D5E" w14:textId="7C1FF061" w:rsidR="00D35AF2" w:rsidRPr="00D35AF2" w:rsidRDefault="00D35AF2" w:rsidP="00D35AF2">
      <w:pPr>
        <w:pStyle w:val="PargrafodaLista"/>
        <w:numPr>
          <w:ilvl w:val="1"/>
          <w:numId w:val="1"/>
        </w:numPr>
        <w:rPr>
          <w:lang w:val="af-ZA"/>
        </w:rPr>
      </w:pPr>
      <w:r w:rsidRPr="00D35AF2">
        <w:rPr>
          <w:lang w:val="af-ZA"/>
        </w:rPr>
        <w:t>Projeto relativo às adaptações a serem realizadas;</w:t>
      </w:r>
    </w:p>
    <w:p w14:paraId="5C9FFB50" w14:textId="07DE9E51" w:rsidR="00D35AF2" w:rsidRPr="00D35AF2" w:rsidRDefault="00D35AF2" w:rsidP="00D35AF2">
      <w:pPr>
        <w:pStyle w:val="PargrafodaLista"/>
        <w:numPr>
          <w:ilvl w:val="1"/>
          <w:numId w:val="1"/>
        </w:numPr>
        <w:rPr>
          <w:lang w:val="af-ZA"/>
        </w:rPr>
      </w:pPr>
      <w:r w:rsidRPr="00D35AF2">
        <w:rPr>
          <w:lang w:val="af-ZA"/>
        </w:rPr>
        <w:t>Planilha que discrimine todas as despesas e custos envolvidos na adaptação do espaço locado;</w:t>
      </w:r>
    </w:p>
    <w:p w14:paraId="4485B38D" w14:textId="64524469" w:rsidR="00D35AF2" w:rsidRPr="00D35AF2" w:rsidRDefault="00D35AF2" w:rsidP="00D35AF2">
      <w:pPr>
        <w:pStyle w:val="Nivel1"/>
        <w:numPr>
          <w:ilvl w:val="1"/>
          <w:numId w:val="1"/>
        </w:numPr>
        <w:rPr>
          <w:lang w:val="af-ZA"/>
        </w:rPr>
      </w:pPr>
      <w:r w:rsidRPr="00D35AF2">
        <w:rPr>
          <w:b w:val="0"/>
          <w:lang w:val="af-ZA"/>
        </w:rPr>
        <w:lastRenderedPageBreak/>
        <w:t>As benfeitorias realizadas ficam incorporadas aos imóveis, sem que assista à CONCESSIONÁRIA o direito de retenção ou indenização sob qualquer título</w:t>
      </w:r>
      <w:r>
        <w:rPr>
          <w:b w:val="0"/>
          <w:lang w:val="af-ZA"/>
        </w:rPr>
        <w:t>.</w:t>
      </w:r>
    </w:p>
    <w:p w14:paraId="1D19C0DB" w14:textId="6251BFC6" w:rsidR="0070059F" w:rsidRPr="00391D87" w:rsidRDefault="00837797" w:rsidP="006E1615">
      <w:pPr>
        <w:pStyle w:val="Nivel1"/>
        <w:ind w:left="-567"/>
      </w:pPr>
      <w:r>
        <w:t>C</w:t>
      </w:r>
      <w:r w:rsidR="005E6DC4" w:rsidRPr="00391D87">
        <w:t>LÁUSULA DÉCIMA</w:t>
      </w:r>
      <w:r w:rsidR="005E6DC4">
        <w:t xml:space="preserve"> </w:t>
      </w:r>
      <w:r>
        <w:t>NONA</w:t>
      </w:r>
      <w:r w:rsidR="005E6DC4" w:rsidRPr="00391D87">
        <w:t xml:space="preserve"> </w:t>
      </w:r>
      <w:r w:rsidR="0070059F" w:rsidRPr="00391D87">
        <w:t>– FORO</w:t>
      </w:r>
    </w:p>
    <w:p w14:paraId="1D19C0DC" w14:textId="51C0B0ED" w:rsidR="0070059F" w:rsidRPr="00391D87" w:rsidRDefault="0070059F" w:rsidP="003C56C0">
      <w:pPr>
        <w:numPr>
          <w:ilvl w:val="1"/>
          <w:numId w:val="1"/>
        </w:numPr>
        <w:spacing w:before="120" w:after="120" w:line="276" w:lineRule="auto"/>
        <w:ind w:left="-142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Pr="00391D87">
        <w:rPr>
          <w:rFonts w:cs="Times New Roman"/>
          <w:color w:val="FF0000"/>
          <w:szCs w:val="20"/>
        </w:rPr>
        <w:t xml:space="preserve"> </w:t>
      </w:r>
      <w:r w:rsidR="003A5EDA" w:rsidRPr="003A5EDA">
        <w:rPr>
          <w:rFonts w:cs="Times New Roman"/>
          <w:szCs w:val="20"/>
        </w:rPr>
        <w:t>Belém</w:t>
      </w:r>
      <w:r w:rsidRPr="003A5EDA">
        <w:rPr>
          <w:rFonts w:cs="Times New Roman"/>
          <w:szCs w:val="20"/>
        </w:rPr>
        <w:t xml:space="preserve"> - </w:t>
      </w:r>
      <w:r w:rsidRPr="00391D87">
        <w:rPr>
          <w:rFonts w:cs="Times New Roman"/>
          <w:szCs w:val="20"/>
        </w:rPr>
        <w:t>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...........................................,  .......... de.......................................... de 20</w:t>
      </w:r>
      <w:proofErr w:type="gramStart"/>
      <w:r w:rsidRPr="00391D87">
        <w:rPr>
          <w:rFonts w:cs="Times New Roman"/>
          <w:szCs w:val="20"/>
        </w:rPr>
        <w:t>.....</w:t>
      </w:r>
      <w:proofErr w:type="gramEnd"/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footerReference w:type="default" r:id="rId13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54DC9" w14:textId="77777777" w:rsidR="00F1644B" w:rsidRDefault="00F1644B">
      <w:r>
        <w:separator/>
      </w:r>
    </w:p>
  </w:endnote>
  <w:endnote w:type="continuationSeparator" w:id="0">
    <w:p w14:paraId="2F21DE86" w14:textId="77777777" w:rsidR="00F1644B" w:rsidRDefault="00F1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CD1E6C0" w:rsidR="007B3E18" w:rsidRPr="00025B38" w:rsidRDefault="00C418EC" w:rsidP="007B3E18">
    <w:pPr>
      <w:pStyle w:val="Rodap"/>
      <w:rPr>
        <w:sz w:val="12"/>
        <w:szCs w:val="12"/>
      </w:rPr>
    </w:pPr>
    <w:r>
      <w:rPr>
        <w:sz w:val="12"/>
        <w:szCs w:val="12"/>
      </w:rPr>
      <w:t>Câmara Nacional</w:t>
    </w:r>
    <w:r w:rsidR="007B3E18" w:rsidRPr="00025B38">
      <w:rPr>
        <w:sz w:val="12"/>
        <w:szCs w:val="12"/>
      </w:rPr>
      <w:t xml:space="preserve"> de </w:t>
    </w:r>
    <w:r w:rsidR="00F74545">
      <w:rPr>
        <w:sz w:val="12"/>
        <w:szCs w:val="12"/>
      </w:rPr>
      <w:t>Modelos de Licitações e Contratos</w:t>
    </w:r>
    <w:r w:rsidR="007B3E18"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7596226F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C418EC">
      <w:rPr>
        <w:sz w:val="12"/>
        <w:szCs w:val="12"/>
      </w:rPr>
      <w:t>Julho/2020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83AB" w14:textId="77777777" w:rsidR="00F1644B" w:rsidRDefault="00F1644B">
      <w:r>
        <w:separator/>
      </w:r>
    </w:p>
  </w:footnote>
  <w:footnote w:type="continuationSeparator" w:id="0">
    <w:p w14:paraId="4485F03E" w14:textId="77777777" w:rsidR="00F1644B" w:rsidRDefault="00F16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30BE2F54"/>
    <w:multiLevelType w:val="hybridMultilevel"/>
    <w:tmpl w:val="D06690B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C3B755A"/>
    <w:multiLevelType w:val="multilevel"/>
    <w:tmpl w:val="60BC6628"/>
    <w:lvl w:ilvl="0">
      <w:start w:val="1"/>
      <w:numFmt w:val="decimal"/>
      <w:pStyle w:val="PB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61DD361E"/>
    <w:multiLevelType w:val="multilevel"/>
    <w:tmpl w:val="2A8CC11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11571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4A28"/>
    <w:rsid w:val="00154AB7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2381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B065D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183E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3C66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31E8"/>
    <w:rsid w:val="002D731A"/>
    <w:rsid w:val="002D78B4"/>
    <w:rsid w:val="002D7C8E"/>
    <w:rsid w:val="002E160F"/>
    <w:rsid w:val="002E3F91"/>
    <w:rsid w:val="002E480D"/>
    <w:rsid w:val="002E5EF1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5EDA"/>
    <w:rsid w:val="003A61A3"/>
    <w:rsid w:val="003A73C1"/>
    <w:rsid w:val="003B791E"/>
    <w:rsid w:val="003C0D96"/>
    <w:rsid w:val="003C4CEE"/>
    <w:rsid w:val="003C56C0"/>
    <w:rsid w:val="003C609E"/>
    <w:rsid w:val="003C6275"/>
    <w:rsid w:val="003D1524"/>
    <w:rsid w:val="003E4927"/>
    <w:rsid w:val="003E4D76"/>
    <w:rsid w:val="003E55B1"/>
    <w:rsid w:val="003F004A"/>
    <w:rsid w:val="003F1437"/>
    <w:rsid w:val="003F185C"/>
    <w:rsid w:val="003F36A3"/>
    <w:rsid w:val="003F549B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4AC2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0B0"/>
    <w:rsid w:val="00480328"/>
    <w:rsid w:val="0048130E"/>
    <w:rsid w:val="004834FC"/>
    <w:rsid w:val="00483B15"/>
    <w:rsid w:val="00483FB9"/>
    <w:rsid w:val="00484BCC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4D2F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877BE"/>
    <w:rsid w:val="00590EAF"/>
    <w:rsid w:val="00595DA6"/>
    <w:rsid w:val="005A1784"/>
    <w:rsid w:val="005A3107"/>
    <w:rsid w:val="005A6A91"/>
    <w:rsid w:val="005B0066"/>
    <w:rsid w:val="005B1ABA"/>
    <w:rsid w:val="005B26A7"/>
    <w:rsid w:val="005B353D"/>
    <w:rsid w:val="005C3930"/>
    <w:rsid w:val="005C76D8"/>
    <w:rsid w:val="005D23DB"/>
    <w:rsid w:val="005E1321"/>
    <w:rsid w:val="005E2DD4"/>
    <w:rsid w:val="005E6D43"/>
    <w:rsid w:val="005E6DC4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972DE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3B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2DC8"/>
    <w:rsid w:val="00745136"/>
    <w:rsid w:val="007472DA"/>
    <w:rsid w:val="00751DDE"/>
    <w:rsid w:val="00756F76"/>
    <w:rsid w:val="00757439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0931"/>
    <w:rsid w:val="007B158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47D3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4C50"/>
    <w:rsid w:val="0080582D"/>
    <w:rsid w:val="0080756C"/>
    <w:rsid w:val="00831204"/>
    <w:rsid w:val="00831208"/>
    <w:rsid w:val="00835A02"/>
    <w:rsid w:val="00837797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65D0E"/>
    <w:rsid w:val="00871B33"/>
    <w:rsid w:val="00872949"/>
    <w:rsid w:val="008804AC"/>
    <w:rsid w:val="00887874"/>
    <w:rsid w:val="008941DB"/>
    <w:rsid w:val="008A16EA"/>
    <w:rsid w:val="008A3444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1460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3EC"/>
    <w:rsid w:val="009D68FB"/>
    <w:rsid w:val="009E04B3"/>
    <w:rsid w:val="009E0DFC"/>
    <w:rsid w:val="009E4250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3713F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0DB6"/>
    <w:rsid w:val="00AC4F34"/>
    <w:rsid w:val="00AC6EC2"/>
    <w:rsid w:val="00AC7E5C"/>
    <w:rsid w:val="00AD66A9"/>
    <w:rsid w:val="00AE2166"/>
    <w:rsid w:val="00AE3A63"/>
    <w:rsid w:val="00AE45E4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15AC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076"/>
    <w:rsid w:val="00BC2797"/>
    <w:rsid w:val="00BC4227"/>
    <w:rsid w:val="00BC7B6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3EBC"/>
    <w:rsid w:val="00BF0E8E"/>
    <w:rsid w:val="00BF1A7F"/>
    <w:rsid w:val="00C00E65"/>
    <w:rsid w:val="00C00F37"/>
    <w:rsid w:val="00C020AC"/>
    <w:rsid w:val="00C03F51"/>
    <w:rsid w:val="00C07443"/>
    <w:rsid w:val="00C10CC7"/>
    <w:rsid w:val="00C13225"/>
    <w:rsid w:val="00C14C86"/>
    <w:rsid w:val="00C229F8"/>
    <w:rsid w:val="00C322F1"/>
    <w:rsid w:val="00C33284"/>
    <w:rsid w:val="00C3520D"/>
    <w:rsid w:val="00C371FA"/>
    <w:rsid w:val="00C418EC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A7234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1D85"/>
    <w:rsid w:val="00D33CD7"/>
    <w:rsid w:val="00D35AF2"/>
    <w:rsid w:val="00D50084"/>
    <w:rsid w:val="00D5130A"/>
    <w:rsid w:val="00D51769"/>
    <w:rsid w:val="00D522D8"/>
    <w:rsid w:val="00D543FF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C74BD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6EE9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4DF0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1683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AE45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  <w:style w:type="paragraph" w:styleId="PargrafodaLista">
    <w:name w:val="List Paragraph"/>
    <w:basedOn w:val="Normal"/>
    <w:uiPriority w:val="34"/>
    <w:qFormat/>
    <w:rsid w:val="00154AB7"/>
    <w:pPr>
      <w:ind w:left="720"/>
      <w:contextualSpacing/>
    </w:pPr>
  </w:style>
  <w:style w:type="paragraph" w:customStyle="1" w:styleId="PB">
    <w:name w:val="PB"/>
    <w:basedOn w:val="Ttulo3"/>
    <w:qFormat/>
    <w:rsid w:val="00AE45E4"/>
    <w:pPr>
      <w:keepLines w:val="0"/>
      <w:numPr>
        <w:numId w:val="4"/>
      </w:numPr>
      <w:pBdr>
        <w:bottom w:val="single" w:sz="4" w:space="1" w:color="auto"/>
      </w:pBdr>
      <w:shd w:val="clear" w:color="auto" w:fill="E6E6E6"/>
      <w:spacing w:before="0"/>
    </w:pPr>
    <w:rPr>
      <w:rFonts w:ascii="Arial" w:eastAsia="Times New Roman" w:hAnsi="Arial" w:cs="Arial"/>
      <w:b/>
      <w:bCs/>
      <w:color w:val="auto"/>
      <w:sz w:val="20"/>
      <w:szCs w:val="20"/>
    </w:rPr>
  </w:style>
  <w:style w:type="character" w:customStyle="1" w:styleId="Ttulo3Char">
    <w:name w:val="Título 3 Char"/>
    <w:basedOn w:val="Fontepargpadro"/>
    <w:link w:val="Ttulo3"/>
    <w:semiHidden/>
    <w:rsid w:val="00AE45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s://upload.wikimedia.org/wikipedia/pt/a/a2/Brasao_UFPA.jp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ED5AD-AD49-4EAF-9E5E-6225E4547EB6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52c93ea8-e2de-466c-b401-d7fabeb9490e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1AD5F3-2852-47DB-9E8B-23FFFA4358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1883</TotalTime>
  <Pages>11</Pages>
  <Words>3877</Words>
  <Characters>21834</Characters>
  <Application>Microsoft Office Word</Application>
  <DocSecurity>0</DocSecurity>
  <Lines>181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</cp:lastModifiedBy>
  <cp:revision>42</cp:revision>
  <cp:lastPrinted>2010-11-03T20:07:00Z</cp:lastPrinted>
  <dcterms:created xsi:type="dcterms:W3CDTF">2019-07-23T19:55:00Z</dcterms:created>
  <dcterms:modified xsi:type="dcterms:W3CDTF">2022-04-01T16:06:00Z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